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4392A3">
      <w:pPr>
        <w:jc w:val="center"/>
        <w:rPr>
          <w:rFonts w:hint="eastAsia"/>
          <w:b/>
          <w:sz w:val="32"/>
          <w:szCs w:val="32"/>
          <w:lang w:val="en-US" w:eastAsia="zh-CN"/>
        </w:rPr>
      </w:pPr>
      <w:r>
        <w:rPr>
          <w:rFonts w:hint="eastAsia"/>
          <w:b/>
          <w:sz w:val="32"/>
          <w:szCs w:val="32"/>
          <w:lang w:val="en-US" w:eastAsia="zh-CN"/>
        </w:rPr>
        <w:t>武汉市第一商业学校</w:t>
      </w:r>
    </w:p>
    <w:p w14:paraId="170F5D3C">
      <w:pPr>
        <w:jc w:val="center"/>
        <w:rPr>
          <w:b/>
          <w:sz w:val="32"/>
          <w:szCs w:val="32"/>
        </w:rPr>
      </w:pPr>
      <w:r>
        <w:rPr>
          <w:rFonts w:hint="eastAsia"/>
          <w:b/>
          <w:sz w:val="32"/>
          <w:szCs w:val="32"/>
          <w:lang w:val="en-US" w:eastAsia="zh-CN"/>
        </w:rPr>
        <w:t>智慧门户等保</w:t>
      </w:r>
      <w:r>
        <w:rPr>
          <w:rFonts w:hint="eastAsia"/>
          <w:b/>
          <w:sz w:val="32"/>
          <w:szCs w:val="32"/>
        </w:rPr>
        <w:t>测评服务项目采购招标文件</w:t>
      </w:r>
    </w:p>
    <w:p w14:paraId="131003DB">
      <w:pPr>
        <w:jc w:val="center"/>
        <w:rPr>
          <w:b/>
          <w:sz w:val="36"/>
          <w:szCs w:val="36"/>
        </w:rPr>
      </w:pPr>
    </w:p>
    <w:p w14:paraId="0F7FF1C0">
      <w:pPr>
        <w:pStyle w:val="3"/>
      </w:pPr>
      <w:r>
        <w:rPr>
          <w:rFonts w:hint="eastAsia"/>
        </w:rPr>
        <w:t>一、项目概况</w:t>
      </w:r>
    </w:p>
    <w:p w14:paraId="7460E576">
      <w:pPr>
        <w:widowControl/>
        <w:shd w:val="clear" w:color="auto" w:fill="FFFFFF"/>
        <w:wordWrap w:val="0"/>
        <w:spacing w:line="360" w:lineRule="auto"/>
        <w:ind w:firstLine="480"/>
        <w:jc w:val="left"/>
        <w:rPr>
          <w:rFonts w:hint="eastAsia" w:ascii="宋体" w:hAnsi="宋体" w:cs="宋体"/>
          <w:sz w:val="24"/>
        </w:rPr>
      </w:pPr>
      <w:r>
        <w:rPr>
          <w:rFonts w:hint="eastAsia" w:ascii="宋体" w:hAnsi="宋体" w:cs="宋体"/>
          <w:sz w:val="24"/>
        </w:rPr>
        <w:t>1.项目名称：</w:t>
      </w:r>
      <w:r>
        <w:rPr>
          <w:rFonts w:hint="eastAsia" w:ascii="宋体" w:hAnsi="宋体" w:cs="宋体"/>
          <w:sz w:val="24"/>
          <w:lang w:val="en-US" w:eastAsia="zh-CN"/>
        </w:rPr>
        <w:t>学校</w:t>
      </w:r>
      <w:r>
        <w:rPr>
          <w:rFonts w:hint="eastAsia" w:ascii="宋体" w:hAnsi="宋体" w:cs="宋体"/>
          <w:sz w:val="24"/>
        </w:rPr>
        <w:t>智慧门户等保测评</w:t>
      </w:r>
    </w:p>
    <w:p w14:paraId="322D3B0D">
      <w:pPr>
        <w:widowControl/>
        <w:shd w:val="clear" w:color="auto" w:fill="FFFFFF"/>
        <w:wordWrap w:val="0"/>
        <w:spacing w:line="360" w:lineRule="auto"/>
        <w:ind w:firstLine="480"/>
        <w:jc w:val="left"/>
        <w:rPr>
          <w:rFonts w:hint="eastAsia" w:ascii="宋体" w:hAnsi="宋体" w:cs="宋体"/>
          <w:sz w:val="24"/>
        </w:rPr>
      </w:pPr>
      <w:r>
        <w:rPr>
          <w:rFonts w:hint="eastAsia" w:ascii="宋体" w:hAnsi="宋体" w:cs="宋体"/>
          <w:sz w:val="24"/>
        </w:rPr>
        <w:t>2.项目预算：</w:t>
      </w:r>
      <w:r>
        <w:rPr>
          <w:rFonts w:hint="eastAsia" w:ascii="宋体" w:hAnsi="宋体" w:cs="宋体"/>
          <w:sz w:val="24"/>
          <w:lang w:val="en-US" w:eastAsia="zh-CN"/>
        </w:rPr>
        <w:t>6</w:t>
      </w:r>
      <w:r>
        <w:rPr>
          <w:rFonts w:hint="eastAsia" w:ascii="宋体" w:hAnsi="宋体" w:cs="宋体"/>
          <w:sz w:val="24"/>
        </w:rPr>
        <w:t>万元</w:t>
      </w:r>
    </w:p>
    <w:p w14:paraId="17D37BA6">
      <w:pPr>
        <w:pStyle w:val="3"/>
      </w:pPr>
      <w:r>
        <w:rPr>
          <w:rFonts w:hint="eastAsia"/>
        </w:rPr>
        <w:t>二、供应商资质条件</w:t>
      </w:r>
    </w:p>
    <w:p w14:paraId="2BE98EA8">
      <w:pPr>
        <w:spacing w:line="360" w:lineRule="auto"/>
        <w:ind w:firstLine="360" w:firstLineChars="150"/>
        <w:rPr>
          <w:rFonts w:hint="eastAsia" w:ascii="宋体" w:hAnsi="宋体"/>
          <w:color w:val="000000"/>
          <w:sz w:val="24"/>
        </w:rPr>
      </w:pPr>
      <w:bookmarkStart w:id="0" w:name="_Toc496695287"/>
      <w:bookmarkStart w:id="1" w:name="_Toc429580032"/>
      <w:bookmarkStart w:id="2" w:name="_Toc436172288"/>
      <w:r>
        <w:rPr>
          <w:rFonts w:hint="eastAsia" w:ascii="宋体" w:hAnsi="宋体"/>
          <w:color w:val="000000"/>
          <w:sz w:val="24"/>
        </w:rPr>
        <w:t>1.供货商应具备《政府采购法》第二十二条规定的条件。</w:t>
      </w:r>
    </w:p>
    <w:p w14:paraId="1CD49619">
      <w:pPr>
        <w:spacing w:line="360" w:lineRule="auto"/>
        <w:ind w:firstLine="360" w:firstLineChars="150"/>
        <w:rPr>
          <w:rFonts w:hint="eastAsia" w:ascii="宋体" w:hAnsi="宋体"/>
          <w:color w:val="000000"/>
          <w:sz w:val="24"/>
        </w:rPr>
      </w:pPr>
      <w:r>
        <w:rPr>
          <w:rFonts w:hint="eastAsia" w:ascii="宋体" w:hAnsi="宋体"/>
          <w:color w:val="000000"/>
          <w:sz w:val="24"/>
        </w:rPr>
        <w:t>2.供应商必须是在中华人民共和国境内注册并取得营业执照的具有独立法人的合法企业。</w:t>
      </w:r>
    </w:p>
    <w:p w14:paraId="313497F1">
      <w:pPr>
        <w:pStyle w:val="15"/>
        <w:spacing w:line="360" w:lineRule="auto"/>
        <w:ind w:firstLineChars="0"/>
        <w:rPr>
          <w:rFonts w:hint="eastAsia" w:ascii="宋体" w:hAnsi="宋体" w:cs="宋体"/>
          <w:sz w:val="24"/>
        </w:rPr>
      </w:pPr>
      <w:r>
        <w:rPr>
          <w:rFonts w:hint="eastAsia" w:ascii="宋体" w:hAnsi="宋体" w:cs="宋体"/>
          <w:sz w:val="24"/>
        </w:rPr>
        <w:t>3.供应商必须持有公安部第三研究所颁发的《网络安全服务认证证书等级保护测评服务认证》（提供证书复印件加盖公章）；</w:t>
      </w:r>
    </w:p>
    <w:p w14:paraId="53B21AA2">
      <w:pPr>
        <w:spacing w:line="360" w:lineRule="auto"/>
        <w:ind w:firstLine="360" w:firstLineChars="150"/>
      </w:pPr>
      <w:r>
        <w:rPr>
          <w:rFonts w:hint="eastAsia" w:ascii="宋体" w:hAnsi="宋体"/>
          <w:color w:val="000000"/>
          <w:sz w:val="24"/>
        </w:rPr>
        <w:t>4.投标人参加政府采购活动前三年内未被“信用中国”网站(www.creditchina.gov.cn)列入失信被执行人、重大税收违法案件当事人、政府采购严重违法失信行为记录名单和未被“中国政府采购”网站（www.ccgp.gov.cn）列入政府采购严重违法失信行为记录名单；</w:t>
      </w:r>
    </w:p>
    <w:p w14:paraId="74A063FC">
      <w:pPr>
        <w:spacing w:line="360" w:lineRule="auto"/>
        <w:ind w:firstLine="420"/>
        <w:rPr>
          <w:rFonts w:hint="eastAsia" w:ascii="宋体" w:hAnsi="宋体"/>
          <w:sz w:val="24"/>
        </w:rPr>
      </w:pPr>
      <w:r>
        <w:rPr>
          <w:rFonts w:hint="eastAsia" w:ascii="宋体" w:hAnsi="宋体" w:cs="宋体"/>
          <w:sz w:val="24"/>
        </w:rPr>
        <w:t>5.供应商必须持有中国信息安全测评中心颁发的信息安全服务资质证书（安全工程类一级）证书或质量管理体系认证证书(ISO9001)；拟派项目负责人人员须具备高级测评师资质或注册网络安全渗透评估专业人员证书NSATP-A（提供加盖供应商公章的相关证明材料复印件）。</w:t>
      </w:r>
    </w:p>
    <w:p w14:paraId="24D1057A">
      <w:pPr>
        <w:spacing w:line="360" w:lineRule="auto"/>
        <w:ind w:firstLine="420"/>
        <w:rPr>
          <w:rFonts w:hint="eastAsia" w:ascii="宋体" w:hAnsi="宋体" w:cs="宋体"/>
          <w:sz w:val="24"/>
        </w:rPr>
      </w:pPr>
      <w:r>
        <w:rPr>
          <w:rFonts w:hint="eastAsia" w:ascii="宋体" w:hAnsi="宋体" w:cs="宋体"/>
          <w:sz w:val="24"/>
        </w:rPr>
        <w:t>6.供应商在武汉市内有固定经营场所，并提供证明文件（提供加盖供应商公章的相关证明材料复印件）。</w:t>
      </w:r>
    </w:p>
    <w:p w14:paraId="0DA227B9">
      <w:pPr>
        <w:spacing w:line="360" w:lineRule="auto"/>
        <w:ind w:firstLine="420"/>
        <w:rPr>
          <w:rFonts w:hint="eastAsia" w:ascii="宋体" w:hAnsi="宋体" w:cs="宋体"/>
          <w:sz w:val="24"/>
        </w:rPr>
      </w:pPr>
      <w:r>
        <w:rPr>
          <w:rFonts w:hint="eastAsia" w:ascii="宋体" w:hAnsi="宋体" w:cs="宋体"/>
          <w:sz w:val="24"/>
          <w:lang w:val="en-US" w:eastAsia="zh-CN"/>
        </w:rPr>
        <w:t>7</w:t>
      </w:r>
      <w:r>
        <w:rPr>
          <w:rFonts w:hint="eastAsia" w:ascii="宋体" w:hAnsi="宋体" w:cs="宋体"/>
          <w:sz w:val="24"/>
        </w:rPr>
        <w:t>.本项目不允许联合体投标。</w:t>
      </w:r>
    </w:p>
    <w:p w14:paraId="316C9A54">
      <w:r>
        <w:rPr>
          <w:rFonts w:hint="eastAsia"/>
        </w:rPr>
        <w:br w:type="page"/>
      </w:r>
    </w:p>
    <w:p w14:paraId="22C872E2">
      <w:pPr>
        <w:pStyle w:val="3"/>
      </w:pPr>
      <w:r>
        <w:rPr>
          <w:rFonts w:hint="eastAsia"/>
        </w:rPr>
        <w:t>三、服务内容</w:t>
      </w:r>
      <w:bookmarkEnd w:id="0"/>
    </w:p>
    <w:p w14:paraId="077CE8ED">
      <w:pPr>
        <w:ind w:firstLine="480" w:firstLineChars="200"/>
      </w:pPr>
      <w:r>
        <w:rPr>
          <w:rFonts w:hint="eastAsia" w:ascii="宋体" w:hAnsi="宋体" w:cs="宋体"/>
          <w:sz w:val="24"/>
        </w:rPr>
        <w:t>1、网络安全等级保护测评服务</w:t>
      </w:r>
    </w:p>
    <w:tbl>
      <w:tblPr>
        <w:tblStyle w:val="11"/>
        <w:tblW w:w="9534" w:type="dxa"/>
        <w:jc w:val="center"/>
        <w:tblLayout w:type="fixed"/>
        <w:tblCellMar>
          <w:top w:w="0" w:type="dxa"/>
          <w:left w:w="108" w:type="dxa"/>
          <w:bottom w:w="0" w:type="dxa"/>
          <w:right w:w="108" w:type="dxa"/>
        </w:tblCellMar>
      </w:tblPr>
      <w:tblGrid>
        <w:gridCol w:w="880"/>
        <w:gridCol w:w="4180"/>
        <w:gridCol w:w="1706"/>
        <w:gridCol w:w="2768"/>
      </w:tblGrid>
      <w:tr w14:paraId="7A15D298">
        <w:tblPrEx>
          <w:tblCellMar>
            <w:top w:w="0" w:type="dxa"/>
            <w:left w:w="108" w:type="dxa"/>
            <w:bottom w:w="0" w:type="dxa"/>
            <w:right w:w="108" w:type="dxa"/>
          </w:tblCellMar>
        </w:tblPrEx>
        <w:trPr>
          <w:trHeight w:val="467"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14:paraId="07C9EEA4">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序号</w:t>
            </w:r>
          </w:p>
        </w:tc>
        <w:tc>
          <w:tcPr>
            <w:tcW w:w="4180" w:type="dxa"/>
            <w:tcBorders>
              <w:top w:val="single" w:color="auto" w:sz="4" w:space="0"/>
              <w:left w:val="single" w:color="auto" w:sz="4" w:space="0"/>
              <w:bottom w:val="single" w:color="auto" w:sz="4" w:space="0"/>
              <w:right w:val="single" w:color="auto" w:sz="4" w:space="0"/>
            </w:tcBorders>
            <w:vAlign w:val="center"/>
          </w:tcPr>
          <w:p w14:paraId="386B5110">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系统名称</w:t>
            </w:r>
          </w:p>
        </w:tc>
        <w:tc>
          <w:tcPr>
            <w:tcW w:w="1706" w:type="dxa"/>
            <w:tcBorders>
              <w:top w:val="single" w:color="auto" w:sz="4" w:space="0"/>
              <w:left w:val="single" w:color="auto" w:sz="4" w:space="0"/>
              <w:bottom w:val="single" w:color="auto" w:sz="4" w:space="0"/>
              <w:right w:val="single" w:color="auto" w:sz="4" w:space="0"/>
            </w:tcBorders>
            <w:vAlign w:val="center"/>
          </w:tcPr>
          <w:p w14:paraId="4CE0CDE1">
            <w:pPr>
              <w:autoSpaceDE w:val="0"/>
              <w:autoSpaceDN w:val="0"/>
              <w:adjustRightInd w:val="0"/>
              <w:spacing w:line="360" w:lineRule="auto"/>
              <w:ind w:firstLine="480" w:firstLineChars="200"/>
              <w:rPr>
                <w:rFonts w:hint="eastAsia" w:ascii="宋体" w:hAnsi="宋体" w:cs="宋体"/>
                <w:kern w:val="0"/>
                <w:sz w:val="24"/>
              </w:rPr>
            </w:pPr>
            <w:r>
              <w:rPr>
                <w:rFonts w:hint="eastAsia" w:ascii="宋体" w:hAnsi="宋体" w:cs="宋体"/>
                <w:kern w:val="0"/>
                <w:sz w:val="24"/>
              </w:rPr>
              <w:t>数量</w:t>
            </w:r>
          </w:p>
        </w:tc>
        <w:tc>
          <w:tcPr>
            <w:tcW w:w="2768" w:type="dxa"/>
            <w:tcBorders>
              <w:top w:val="single" w:color="auto" w:sz="4" w:space="0"/>
              <w:left w:val="single" w:color="auto" w:sz="4" w:space="0"/>
              <w:bottom w:val="single" w:color="auto" w:sz="4" w:space="0"/>
              <w:right w:val="single" w:color="auto" w:sz="4" w:space="0"/>
            </w:tcBorders>
            <w:vAlign w:val="center"/>
          </w:tcPr>
          <w:p w14:paraId="618F6312">
            <w:pPr>
              <w:autoSpaceDE w:val="0"/>
              <w:autoSpaceDN w:val="0"/>
              <w:adjustRightInd w:val="0"/>
              <w:spacing w:line="360" w:lineRule="auto"/>
              <w:ind w:firstLine="960" w:firstLineChars="400"/>
              <w:rPr>
                <w:rFonts w:hint="eastAsia" w:ascii="宋体" w:hAnsi="宋体" w:cs="宋体"/>
                <w:kern w:val="0"/>
                <w:sz w:val="24"/>
              </w:rPr>
            </w:pPr>
            <w:r>
              <w:rPr>
                <w:rFonts w:hint="eastAsia" w:ascii="宋体" w:hAnsi="宋体" w:cs="宋体"/>
                <w:kern w:val="0"/>
                <w:sz w:val="24"/>
              </w:rPr>
              <w:t>系统级别</w:t>
            </w:r>
          </w:p>
        </w:tc>
      </w:tr>
      <w:tr w14:paraId="57384A2A">
        <w:tblPrEx>
          <w:tblCellMar>
            <w:top w:w="0" w:type="dxa"/>
            <w:left w:w="108" w:type="dxa"/>
            <w:bottom w:w="0" w:type="dxa"/>
            <w:right w:w="108" w:type="dxa"/>
          </w:tblCellMar>
        </w:tblPrEx>
        <w:trPr>
          <w:trHeight w:val="582" w:hRule="atLeast"/>
          <w:jc w:val="center"/>
        </w:trPr>
        <w:tc>
          <w:tcPr>
            <w:tcW w:w="880" w:type="dxa"/>
            <w:tcBorders>
              <w:top w:val="single" w:color="auto" w:sz="4" w:space="0"/>
              <w:left w:val="single" w:color="auto" w:sz="4" w:space="0"/>
              <w:bottom w:val="single" w:color="auto" w:sz="4" w:space="0"/>
              <w:right w:val="single" w:color="auto" w:sz="4" w:space="0"/>
            </w:tcBorders>
            <w:vAlign w:val="center"/>
          </w:tcPr>
          <w:p w14:paraId="6F3B0744">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1</w:t>
            </w:r>
          </w:p>
        </w:tc>
        <w:tc>
          <w:tcPr>
            <w:tcW w:w="4180" w:type="dxa"/>
            <w:tcBorders>
              <w:top w:val="single" w:color="auto" w:sz="4" w:space="0"/>
              <w:left w:val="single" w:color="auto" w:sz="4" w:space="0"/>
              <w:bottom w:val="single" w:color="auto" w:sz="4" w:space="0"/>
              <w:right w:val="single" w:color="auto" w:sz="4" w:space="0"/>
            </w:tcBorders>
            <w:vAlign w:val="center"/>
          </w:tcPr>
          <w:p w14:paraId="43415284">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highlight w:val="none"/>
              </w:rPr>
              <w:t>智慧门户系统</w:t>
            </w:r>
          </w:p>
        </w:tc>
        <w:tc>
          <w:tcPr>
            <w:tcW w:w="1706" w:type="dxa"/>
            <w:tcBorders>
              <w:top w:val="single" w:color="auto" w:sz="4" w:space="0"/>
              <w:left w:val="nil"/>
              <w:bottom w:val="single" w:color="auto" w:sz="4" w:space="0"/>
              <w:right w:val="single" w:color="auto" w:sz="4" w:space="0"/>
            </w:tcBorders>
            <w:vAlign w:val="center"/>
          </w:tcPr>
          <w:p w14:paraId="442A2D62">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1</w:t>
            </w:r>
          </w:p>
        </w:tc>
        <w:tc>
          <w:tcPr>
            <w:tcW w:w="2768" w:type="dxa"/>
            <w:tcBorders>
              <w:top w:val="single" w:color="auto" w:sz="4" w:space="0"/>
              <w:left w:val="nil"/>
              <w:bottom w:val="single" w:color="auto" w:sz="4" w:space="0"/>
              <w:right w:val="single" w:color="auto" w:sz="4" w:space="0"/>
            </w:tcBorders>
            <w:vAlign w:val="center"/>
          </w:tcPr>
          <w:p w14:paraId="292E0FAF">
            <w:pPr>
              <w:autoSpaceDE w:val="0"/>
              <w:autoSpaceDN w:val="0"/>
              <w:adjustRightInd w:val="0"/>
              <w:spacing w:line="360" w:lineRule="auto"/>
              <w:jc w:val="center"/>
              <w:rPr>
                <w:rFonts w:hint="eastAsia" w:ascii="宋体" w:hAnsi="宋体" w:cs="宋体"/>
                <w:kern w:val="0"/>
                <w:sz w:val="24"/>
              </w:rPr>
            </w:pPr>
            <w:r>
              <w:rPr>
                <w:rFonts w:hint="eastAsia" w:ascii="宋体" w:hAnsi="宋体" w:cs="宋体"/>
                <w:kern w:val="0"/>
                <w:sz w:val="24"/>
              </w:rPr>
              <w:t>二级</w:t>
            </w:r>
          </w:p>
        </w:tc>
      </w:tr>
      <w:bookmarkEnd w:id="1"/>
      <w:bookmarkEnd w:id="2"/>
    </w:tbl>
    <w:p w14:paraId="5BA83966">
      <w:pPr>
        <w:spacing w:line="360" w:lineRule="auto"/>
        <w:ind w:firstLine="480" w:firstLineChars="200"/>
        <w:rPr>
          <w:rFonts w:hint="eastAsia" w:ascii="宋体" w:hAnsi="宋体" w:cs="宋体"/>
          <w:sz w:val="24"/>
        </w:rPr>
      </w:pPr>
      <w:r>
        <w:rPr>
          <w:rFonts w:hint="eastAsia" w:ascii="宋体" w:hAnsi="宋体" w:cs="宋体"/>
          <w:sz w:val="24"/>
        </w:rPr>
        <w:t>根据相关文件及标准要求，</w:t>
      </w:r>
      <w:r>
        <w:rPr>
          <w:rFonts w:hint="eastAsia" w:ascii="宋体" w:hAnsi="宋体" w:cs="宋体"/>
          <w:sz w:val="24"/>
          <w:highlight w:val="none"/>
        </w:rPr>
        <w:t>对</w:t>
      </w:r>
      <w:r>
        <w:rPr>
          <w:rFonts w:hint="eastAsia" w:ascii="宋体" w:hAnsi="宋体" w:cs="宋体"/>
          <w:sz w:val="24"/>
          <w:highlight w:val="none"/>
          <w:lang w:val="en-US" w:eastAsia="zh-CN"/>
        </w:rPr>
        <w:t>武汉市第一商业学校</w:t>
      </w:r>
      <w:r>
        <w:rPr>
          <w:rFonts w:hint="eastAsia" w:ascii="宋体" w:hAnsi="宋体" w:cs="宋体"/>
          <w:sz w:val="24"/>
          <w:highlight w:val="none"/>
        </w:rPr>
        <w:t>需要进</w:t>
      </w:r>
      <w:r>
        <w:rPr>
          <w:rFonts w:hint="eastAsia" w:ascii="宋体" w:hAnsi="宋体" w:cs="宋体"/>
          <w:sz w:val="24"/>
        </w:rPr>
        <w:t>行测评的信息系统实施网络安全等级保护定级、备案、测评等工作，出具符合格式要求的等级测评报告。</w:t>
      </w:r>
    </w:p>
    <w:p w14:paraId="1CD3DA71">
      <w:pPr>
        <w:spacing w:line="360" w:lineRule="auto"/>
        <w:ind w:firstLine="480" w:firstLineChars="200"/>
        <w:rPr>
          <w:rFonts w:hint="eastAsia" w:ascii="宋体" w:hAnsi="宋体" w:cs="宋体"/>
          <w:sz w:val="24"/>
        </w:rPr>
      </w:pPr>
      <w:r>
        <w:rPr>
          <w:rFonts w:hint="eastAsia" w:ascii="宋体" w:hAnsi="宋体" w:cs="宋体"/>
          <w:sz w:val="24"/>
        </w:rPr>
        <w:t>协</w:t>
      </w:r>
      <w:r>
        <w:rPr>
          <w:rFonts w:hint="eastAsia" w:ascii="宋体" w:hAnsi="宋体" w:cs="宋体"/>
          <w:sz w:val="24"/>
          <w:highlight w:val="none"/>
        </w:rPr>
        <w:t>助</w:t>
      </w:r>
      <w:r>
        <w:rPr>
          <w:rFonts w:hint="eastAsia" w:ascii="宋体" w:hAnsi="宋体" w:cs="宋体"/>
          <w:sz w:val="24"/>
          <w:highlight w:val="none"/>
          <w:lang w:val="en-US" w:eastAsia="zh-CN"/>
        </w:rPr>
        <w:t>武汉市第一商业学校</w:t>
      </w:r>
      <w:r>
        <w:rPr>
          <w:rFonts w:hint="eastAsia" w:ascii="宋体" w:hAnsi="宋体" w:cs="宋体"/>
          <w:sz w:val="24"/>
          <w:highlight w:val="none"/>
        </w:rPr>
        <w:t>进</w:t>
      </w:r>
      <w:r>
        <w:rPr>
          <w:rFonts w:hint="eastAsia" w:ascii="宋体" w:hAnsi="宋体" w:cs="宋体"/>
          <w:sz w:val="24"/>
        </w:rPr>
        <w:t>行安全管理制度修订。对现有的安全管理制度提出合理化、贴合实际情况的完善建议，并协助进行修订，形成完备、合理、操作性强的安全管理制度，落实网络安全主体责任，落实责任到人的网络安全管理制度。</w:t>
      </w:r>
    </w:p>
    <w:p w14:paraId="6D8FA83B">
      <w:pPr>
        <w:spacing w:line="360" w:lineRule="auto"/>
        <w:ind w:firstLine="480" w:firstLineChars="200"/>
        <w:rPr>
          <w:rFonts w:hint="eastAsia" w:ascii="宋体" w:hAnsi="宋体" w:cs="宋体"/>
          <w:sz w:val="24"/>
        </w:rPr>
      </w:pPr>
      <w:r>
        <w:rPr>
          <w:rFonts w:hint="eastAsia" w:ascii="宋体" w:hAnsi="宋体" w:cs="宋体"/>
          <w:sz w:val="24"/>
        </w:rPr>
        <w:t>提供应急响应服务，供应商具备本地化服务能力，在武汉市内具有稳定的网络安全技术服务团队，从事网络安全技术服务工作的人员不少于30人，并提供武汉市参保证明文件。</w:t>
      </w:r>
    </w:p>
    <w:p w14:paraId="6D3E1F5E">
      <w:pPr>
        <w:pStyle w:val="3"/>
        <w:numPr>
          <w:ilvl w:val="0"/>
          <w:numId w:val="1"/>
        </w:numPr>
      </w:pPr>
      <w:r>
        <w:rPr>
          <w:rFonts w:hint="eastAsia"/>
        </w:rPr>
        <w:t>等级保护测评服务工作内容</w:t>
      </w:r>
    </w:p>
    <w:p w14:paraId="7A8EDF80">
      <w:pPr>
        <w:spacing w:line="360" w:lineRule="auto"/>
        <w:ind w:firstLine="480" w:firstLineChars="200"/>
        <w:rPr>
          <w:rFonts w:hint="eastAsia" w:ascii="宋体" w:hAnsi="宋体" w:cs="宋体"/>
          <w:sz w:val="24"/>
        </w:rPr>
      </w:pPr>
      <w:r>
        <w:rPr>
          <w:rFonts w:hint="eastAsia" w:ascii="宋体" w:hAnsi="宋体" w:cs="宋体"/>
          <w:sz w:val="24"/>
        </w:rPr>
        <w:t>1.定级备案服务</w:t>
      </w:r>
    </w:p>
    <w:p w14:paraId="7FA3AC04">
      <w:pPr>
        <w:spacing w:line="360" w:lineRule="auto"/>
        <w:ind w:firstLine="480" w:firstLineChars="200"/>
        <w:rPr>
          <w:rFonts w:hint="eastAsia" w:ascii="宋体" w:hAnsi="宋体" w:cs="宋体"/>
          <w:sz w:val="24"/>
        </w:rPr>
      </w:pPr>
      <w:r>
        <w:rPr>
          <w:rFonts w:hint="eastAsia" w:ascii="宋体" w:hAnsi="宋体" w:cs="宋体"/>
          <w:sz w:val="24"/>
        </w:rPr>
        <w:t>协</w:t>
      </w:r>
      <w:r>
        <w:rPr>
          <w:rFonts w:hint="eastAsia" w:ascii="宋体" w:hAnsi="宋体" w:cs="宋体"/>
          <w:sz w:val="24"/>
          <w:highlight w:val="none"/>
        </w:rPr>
        <w:t>助</w:t>
      </w:r>
      <w:r>
        <w:rPr>
          <w:rFonts w:hint="eastAsia" w:ascii="宋体" w:hAnsi="宋体" w:cs="宋体"/>
          <w:sz w:val="24"/>
          <w:highlight w:val="none"/>
          <w:lang w:val="en-US" w:eastAsia="zh-CN"/>
        </w:rPr>
        <w:t>武汉市第一商业学校</w:t>
      </w:r>
      <w:r>
        <w:rPr>
          <w:rFonts w:hint="eastAsia" w:ascii="宋体" w:hAnsi="宋体" w:cs="宋体"/>
          <w:sz w:val="24"/>
          <w:highlight w:val="none"/>
        </w:rPr>
        <w:t>需</w:t>
      </w:r>
      <w:r>
        <w:rPr>
          <w:rFonts w:hint="eastAsia" w:ascii="宋体" w:hAnsi="宋体" w:cs="宋体"/>
          <w:sz w:val="24"/>
        </w:rPr>
        <w:t xml:space="preserve">要进行测评的信息系统进行定级、备案材料的编写，协助采购方到公安监管等部门办理备案手续，确保信息系统安全保护等级定级准确、备案完整。 </w:t>
      </w:r>
    </w:p>
    <w:p w14:paraId="20F62479">
      <w:pPr>
        <w:spacing w:line="360" w:lineRule="auto"/>
        <w:ind w:firstLine="480" w:firstLineChars="200"/>
        <w:rPr>
          <w:rFonts w:hint="eastAsia" w:ascii="宋体" w:hAnsi="宋体" w:cs="宋体"/>
          <w:sz w:val="24"/>
        </w:rPr>
      </w:pPr>
      <w:r>
        <w:rPr>
          <w:rFonts w:hint="eastAsia" w:ascii="宋体" w:hAnsi="宋体" w:cs="宋体"/>
          <w:sz w:val="24"/>
        </w:rPr>
        <w:t xml:space="preserve">2.网络安全等级保护测评服务 </w:t>
      </w:r>
    </w:p>
    <w:p w14:paraId="4EF5D6A6">
      <w:pPr>
        <w:spacing w:line="360" w:lineRule="auto"/>
        <w:ind w:firstLine="480" w:firstLineChars="200"/>
        <w:rPr>
          <w:rFonts w:hint="eastAsia" w:ascii="宋体" w:hAnsi="宋体" w:cs="宋体"/>
          <w:sz w:val="24"/>
        </w:rPr>
      </w:pPr>
      <w:r>
        <w:rPr>
          <w:rFonts w:hint="eastAsia" w:ascii="宋体" w:hAnsi="宋体" w:cs="宋体"/>
          <w:sz w:val="24"/>
        </w:rPr>
        <w:t>依据《GB/T 22239-2019 信息安全技术 网络安全等级</w:t>
      </w:r>
      <w:bookmarkStart w:id="3" w:name="_GoBack"/>
      <w:bookmarkEnd w:id="3"/>
      <w:r>
        <w:rPr>
          <w:rFonts w:hint="eastAsia" w:ascii="宋体" w:hAnsi="宋体" w:cs="宋体"/>
          <w:sz w:val="24"/>
        </w:rPr>
        <w:t>保护基本要求》、《GB/T 28448-2019 信息安全技术 网络安全等级保护测评要求》、《GB/T 25070-2019信息安全技术  网络安全等级保护安全设计技术要求》、《GB/T 28449-2018信息安全技术 网络安全等级保护测评过程指南》等标准的要求，</w:t>
      </w:r>
      <w:r>
        <w:rPr>
          <w:rFonts w:hint="eastAsia" w:ascii="宋体" w:hAnsi="宋体" w:cs="宋体"/>
          <w:sz w:val="24"/>
          <w:highlight w:val="none"/>
        </w:rPr>
        <w:t>对</w:t>
      </w:r>
      <w:r>
        <w:rPr>
          <w:rFonts w:hint="eastAsia" w:ascii="宋体" w:hAnsi="宋体" w:cs="宋体"/>
          <w:sz w:val="24"/>
          <w:highlight w:val="none"/>
          <w:lang w:val="en-US" w:eastAsia="zh-CN"/>
        </w:rPr>
        <w:t>武汉市第一商业学校</w:t>
      </w:r>
      <w:r>
        <w:rPr>
          <w:rFonts w:hint="eastAsia" w:ascii="宋体" w:hAnsi="宋体" w:cs="宋体"/>
          <w:sz w:val="24"/>
          <w:highlight w:val="none"/>
        </w:rPr>
        <w:t>需要</w:t>
      </w:r>
      <w:r>
        <w:rPr>
          <w:rFonts w:hint="eastAsia" w:ascii="宋体" w:hAnsi="宋体" w:cs="宋体"/>
          <w:sz w:val="24"/>
        </w:rPr>
        <w:t>进行测评的信息系统进行等级测评，出具符合国家网络安全等级保护格式要求的等级测评报告。</w:t>
      </w:r>
    </w:p>
    <w:p w14:paraId="30ED8E84">
      <w:pPr>
        <w:spacing w:line="360" w:lineRule="auto"/>
        <w:ind w:firstLine="480" w:firstLineChars="200"/>
        <w:rPr>
          <w:rFonts w:hint="eastAsia" w:ascii="宋体" w:hAnsi="宋体" w:cs="宋体"/>
          <w:sz w:val="24"/>
        </w:rPr>
      </w:pPr>
      <w:r>
        <w:rPr>
          <w:rFonts w:hint="eastAsia" w:ascii="宋体" w:hAnsi="宋体" w:cs="宋体"/>
          <w:sz w:val="24"/>
        </w:rPr>
        <w:t>测评内容应包括但不限于以下内容：</w:t>
      </w:r>
    </w:p>
    <w:p w14:paraId="08903A58">
      <w:pPr>
        <w:spacing w:line="360" w:lineRule="auto"/>
        <w:ind w:firstLine="480" w:firstLineChars="200"/>
        <w:rPr>
          <w:rFonts w:hint="eastAsia" w:ascii="宋体" w:hAnsi="宋体" w:cs="宋体"/>
          <w:sz w:val="24"/>
        </w:rPr>
      </w:pPr>
      <w:r>
        <w:rPr>
          <w:rFonts w:hint="eastAsia" w:ascii="宋体" w:hAnsi="宋体" w:cs="宋体"/>
          <w:sz w:val="24"/>
        </w:rPr>
        <w:t>（1）安全技术测评：包括安全物理环境、安全通信网络、安全区域边界、安全计算环境和安全管理中心等五个方面的安全测评；</w:t>
      </w:r>
    </w:p>
    <w:p w14:paraId="30DF579A">
      <w:pPr>
        <w:spacing w:line="360" w:lineRule="auto"/>
        <w:ind w:firstLine="480" w:firstLineChars="200"/>
        <w:rPr>
          <w:rFonts w:hint="eastAsia" w:ascii="宋体" w:hAnsi="宋体" w:cs="宋体"/>
          <w:sz w:val="24"/>
        </w:rPr>
      </w:pPr>
      <w:r>
        <w:rPr>
          <w:rFonts w:hint="eastAsia" w:ascii="宋体" w:hAnsi="宋体" w:cs="宋体"/>
          <w:sz w:val="24"/>
        </w:rPr>
        <w:t xml:space="preserve">（2）安全管理测评：安全管理制度、安全管理机构、安全管理人员、安全建设管理和安全运维管理等五个方面的安全测评； </w:t>
      </w:r>
    </w:p>
    <w:p w14:paraId="380EF4B2">
      <w:pPr>
        <w:spacing w:line="360" w:lineRule="auto"/>
        <w:ind w:firstLine="480" w:firstLineChars="200"/>
        <w:rPr>
          <w:rFonts w:hint="eastAsia" w:ascii="宋体" w:hAnsi="宋体" w:cs="宋体"/>
          <w:sz w:val="24"/>
        </w:rPr>
      </w:pPr>
      <w:r>
        <w:rPr>
          <w:rFonts w:hint="eastAsia" w:ascii="宋体" w:hAnsi="宋体" w:cs="宋体"/>
          <w:sz w:val="24"/>
        </w:rPr>
        <w:t xml:space="preserve">（3）系统整体测评：控制间测评、层面间测评、区域间测评、系统结构安全测评。 </w:t>
      </w:r>
    </w:p>
    <w:p w14:paraId="533FC9CC">
      <w:pPr>
        <w:spacing w:line="360" w:lineRule="auto"/>
        <w:ind w:firstLine="480" w:firstLineChars="200"/>
        <w:rPr>
          <w:rFonts w:hint="eastAsia" w:ascii="宋体" w:hAnsi="宋体" w:cs="宋体"/>
          <w:sz w:val="24"/>
        </w:rPr>
      </w:pPr>
      <w:r>
        <w:rPr>
          <w:rFonts w:hint="eastAsia" w:ascii="宋体" w:hAnsi="宋体" w:cs="宋体"/>
          <w:sz w:val="24"/>
        </w:rPr>
        <w:t>3.安全整改建设方案编制</w:t>
      </w:r>
    </w:p>
    <w:p w14:paraId="3A2EC2A7">
      <w:pPr>
        <w:spacing w:line="360" w:lineRule="auto"/>
        <w:ind w:firstLine="480" w:firstLineChars="200"/>
        <w:rPr>
          <w:rFonts w:hint="eastAsia" w:ascii="宋体" w:hAnsi="宋体" w:cs="宋体"/>
          <w:sz w:val="24"/>
        </w:rPr>
      </w:pPr>
      <w:r>
        <w:rPr>
          <w:rFonts w:hint="eastAsia" w:ascii="宋体" w:hAnsi="宋体" w:cs="宋体"/>
          <w:sz w:val="24"/>
        </w:rPr>
        <w:t>安全整改建设方案应严格依据《信息安全等级保护管理办法》、《GB/T 22239-2019  信息安全技术 网络安全等级保护基本要求》、《GB/T 25058-2010 信息安全技术 网络安全等级保护实施指南》、《GB/T 20269-2006 信息安全技术 信息系统安全管理要求》、《GB/T 20271-2006 信息安全技术 信息系统通用安全技术要求》、《GB/T 20282-2006_信息安全技术 信息系统安全工程管理要求》、《GB/T 25070-2019信息安全技术 网络安全等级保护安全设计技术要求》等标准规范要求制定</w:t>
      </w:r>
      <w:r>
        <w:rPr>
          <w:rFonts w:hint="eastAsia" w:ascii="宋体" w:hAnsi="宋体" w:cs="宋体"/>
          <w:sz w:val="24"/>
          <w:highlight w:val="none"/>
        </w:rPr>
        <w:t>《智慧门户系统安全</w:t>
      </w:r>
      <w:r>
        <w:rPr>
          <w:rFonts w:hint="eastAsia" w:ascii="宋体" w:hAnsi="宋体" w:cs="宋体"/>
          <w:sz w:val="24"/>
        </w:rPr>
        <w:t>整改建设方案》，并在后续提供安全整改咨询服务，协助客户完善信息系统的安全防护措施，使系统达到等级保护相应级别的相关要求。</w:t>
      </w:r>
    </w:p>
    <w:p w14:paraId="274B7F15">
      <w:pPr>
        <w:spacing w:line="360" w:lineRule="auto"/>
        <w:ind w:firstLine="480" w:firstLineChars="200"/>
        <w:rPr>
          <w:rFonts w:hint="eastAsia" w:ascii="宋体" w:hAnsi="宋体" w:cs="宋体"/>
          <w:sz w:val="24"/>
        </w:rPr>
      </w:pPr>
      <w:r>
        <w:rPr>
          <w:rFonts w:hint="eastAsia" w:ascii="宋体" w:hAnsi="宋体" w:cs="宋体"/>
          <w:sz w:val="24"/>
        </w:rPr>
        <w:t>4.二次测评</w:t>
      </w:r>
    </w:p>
    <w:p w14:paraId="19BC2314">
      <w:pPr>
        <w:spacing w:line="360" w:lineRule="auto"/>
        <w:ind w:firstLine="480" w:firstLineChars="200"/>
        <w:rPr>
          <w:rFonts w:hint="eastAsia" w:ascii="宋体" w:hAnsi="宋体" w:cs="宋体"/>
          <w:sz w:val="24"/>
        </w:rPr>
      </w:pPr>
      <w:r>
        <w:rPr>
          <w:rFonts w:hint="eastAsia" w:ascii="宋体" w:hAnsi="宋体" w:cs="宋体"/>
          <w:sz w:val="24"/>
        </w:rPr>
        <w:t>采购方完成信息系统安全整改后，供应商对整改后的信息系统进行复测，出具正式的测评报告，协助采购方到公安部门办理备案手续。</w:t>
      </w:r>
    </w:p>
    <w:p w14:paraId="15FF733C">
      <w:pPr>
        <w:spacing w:line="360" w:lineRule="auto"/>
        <w:ind w:firstLine="480" w:firstLineChars="200"/>
        <w:rPr>
          <w:rFonts w:hint="eastAsia" w:ascii="宋体" w:hAnsi="宋体" w:cs="宋体"/>
          <w:sz w:val="24"/>
        </w:rPr>
      </w:pPr>
      <w:r>
        <w:rPr>
          <w:rFonts w:hint="eastAsia" w:ascii="宋体" w:hAnsi="宋体" w:cs="宋体"/>
          <w:sz w:val="24"/>
        </w:rPr>
        <w:t>5.整体要求</w:t>
      </w:r>
    </w:p>
    <w:p w14:paraId="2B22BCCC">
      <w:pPr>
        <w:spacing w:line="360" w:lineRule="auto"/>
        <w:ind w:firstLine="480" w:firstLineChars="200"/>
        <w:rPr>
          <w:rFonts w:hint="eastAsia" w:ascii="宋体" w:hAnsi="宋体" w:cs="宋体"/>
          <w:sz w:val="24"/>
        </w:rPr>
      </w:pPr>
      <w:r>
        <w:rPr>
          <w:rFonts w:hint="eastAsia" w:ascii="宋体" w:hAnsi="宋体" w:cs="宋体"/>
          <w:sz w:val="24"/>
        </w:rPr>
        <w:t>（1）供应商应详细描述本次网络安全等级保护测评的整体实施方案，包括项目概述、等级保护测评方案、测试过程中需使用测试设备清单、时间安排、阶段性文档提交等。</w:t>
      </w:r>
    </w:p>
    <w:p w14:paraId="55EDF865">
      <w:pPr>
        <w:spacing w:line="360" w:lineRule="auto"/>
        <w:ind w:firstLine="480" w:firstLineChars="200"/>
        <w:rPr>
          <w:rFonts w:hint="eastAsia" w:ascii="宋体" w:hAnsi="宋体" w:cs="宋体"/>
          <w:sz w:val="24"/>
        </w:rPr>
      </w:pPr>
      <w:r>
        <w:rPr>
          <w:rFonts w:hint="eastAsia" w:ascii="宋体" w:hAnsi="宋体" w:cs="宋体"/>
          <w:sz w:val="24"/>
        </w:rPr>
        <w:t>（2）供应商应详细描述测评人员的组成、资质及各自职责的划分。供应商应配置有测评资质的专业人员进行本次信息安全等级保护测评工作。</w:t>
      </w:r>
    </w:p>
    <w:p w14:paraId="6E2D1AA6">
      <w:pPr>
        <w:spacing w:line="360" w:lineRule="auto"/>
        <w:ind w:firstLine="480" w:firstLineChars="200"/>
        <w:rPr>
          <w:rFonts w:hint="eastAsia" w:ascii="宋体" w:hAnsi="宋体" w:cs="宋体"/>
          <w:sz w:val="24"/>
        </w:rPr>
      </w:pPr>
      <w:r>
        <w:rPr>
          <w:rFonts w:hint="eastAsia" w:ascii="宋体" w:hAnsi="宋体" w:cs="宋体"/>
          <w:sz w:val="24"/>
        </w:rPr>
        <w:t>（3）供应商必须具备丰富的等级测评项目经验，参与项目的测评人员不少于3人。供应商项目负责人应具备等级保护高级测评师资质，拟派项目实施人员须具备等级保护测评师资质或注册网络安全渗透评估专业人员证书（NSATP-A）。供应商必须持有中国信息安全测评中心颁发的信息安全服务资质证书（安全工程类一级）或质量管理体系认证证书(ISO9001)。</w:t>
      </w:r>
    </w:p>
    <w:p w14:paraId="4478E2AE">
      <w:pPr>
        <w:spacing w:line="360" w:lineRule="auto"/>
        <w:ind w:firstLine="480" w:firstLineChars="200"/>
        <w:rPr>
          <w:rFonts w:hint="eastAsia" w:ascii="宋体" w:hAnsi="宋体" w:cs="宋体"/>
          <w:sz w:val="24"/>
        </w:rPr>
      </w:pPr>
      <w:r>
        <w:rPr>
          <w:rFonts w:hint="eastAsia" w:ascii="宋体" w:hAnsi="宋体" w:cs="宋体"/>
          <w:sz w:val="24"/>
        </w:rPr>
        <w:t>（4）本次网络安全等级保护测评实施过程中所使用到的各种工具软件（包括测试工具和报告编写工具）应符合国家相关要求，经招标人确认后由供应商提供并在信息系统等级保护测评中使用。</w:t>
      </w:r>
    </w:p>
    <w:p w14:paraId="0BE5F6C0">
      <w:pPr>
        <w:spacing w:line="360" w:lineRule="auto"/>
        <w:ind w:firstLine="480" w:firstLineChars="200"/>
        <w:rPr>
          <w:rFonts w:hint="eastAsia" w:ascii="宋体" w:hAnsi="宋体" w:cs="宋体"/>
          <w:sz w:val="24"/>
        </w:rPr>
      </w:pPr>
      <w:r>
        <w:rPr>
          <w:rFonts w:hint="eastAsia" w:ascii="宋体" w:hAnsi="宋体" w:cs="宋体"/>
          <w:sz w:val="24"/>
        </w:rPr>
        <w:t>（5）网络安全等级保护测评需要的运行环境（如场地、网络环境等）由招标人提供，供应商应详细描述需要的运行环境的具体要求。</w:t>
      </w:r>
    </w:p>
    <w:p w14:paraId="59C2D8F9">
      <w:pPr>
        <w:spacing w:line="360" w:lineRule="auto"/>
        <w:ind w:firstLine="480" w:firstLineChars="200"/>
        <w:rPr>
          <w:rFonts w:hint="eastAsia" w:ascii="宋体" w:hAnsi="宋体" w:cs="宋体"/>
          <w:sz w:val="24"/>
        </w:rPr>
      </w:pPr>
      <w:r>
        <w:rPr>
          <w:rFonts w:hint="eastAsia" w:ascii="宋体" w:hAnsi="宋体" w:cs="宋体"/>
          <w:sz w:val="24"/>
        </w:rPr>
        <w:t>6.专用工具要求</w:t>
      </w:r>
    </w:p>
    <w:p w14:paraId="4548C125">
      <w:pPr>
        <w:spacing w:line="360" w:lineRule="auto"/>
        <w:ind w:firstLine="480" w:firstLineChars="200"/>
        <w:rPr>
          <w:rFonts w:hint="eastAsia" w:ascii="宋体" w:hAnsi="宋体" w:cs="宋体"/>
          <w:sz w:val="24"/>
        </w:rPr>
      </w:pPr>
      <w:r>
        <w:rPr>
          <w:rFonts w:hint="eastAsia" w:ascii="宋体" w:hAnsi="宋体" w:cs="宋体"/>
          <w:sz w:val="24"/>
        </w:rPr>
        <w:t>本项目涉及工程实施和验收测试所需的工具，由投标方负责提供。用于测评的工具主要包括服务器安全测评工具、网络设备安全测评工具、终端计算机安全测评工具、网站等应用系统安全测评工具等。在使用前，应对工具进行测评，如果需要则对工具进行软件或代码升级。</w:t>
      </w:r>
    </w:p>
    <w:p w14:paraId="1CD2E79B">
      <w:pPr>
        <w:spacing w:line="360" w:lineRule="auto"/>
        <w:ind w:firstLine="480" w:firstLineChars="200"/>
        <w:rPr>
          <w:rFonts w:hint="eastAsia" w:ascii="宋体" w:hAnsi="宋体" w:cs="宋体"/>
          <w:sz w:val="24"/>
        </w:rPr>
      </w:pPr>
      <w:r>
        <w:rPr>
          <w:rFonts w:hint="eastAsia" w:ascii="宋体" w:hAnsi="宋体" w:cs="宋体"/>
          <w:sz w:val="24"/>
        </w:rPr>
        <w:t>7.安全管理要求</w:t>
      </w:r>
    </w:p>
    <w:p w14:paraId="369D20DA">
      <w:pPr>
        <w:spacing w:line="360" w:lineRule="auto"/>
        <w:ind w:firstLine="480" w:firstLineChars="200"/>
        <w:rPr>
          <w:rFonts w:hint="eastAsia" w:ascii="宋体" w:hAnsi="宋体" w:cs="宋体"/>
          <w:sz w:val="24"/>
        </w:rPr>
      </w:pPr>
      <w:r>
        <w:rPr>
          <w:rFonts w:hint="eastAsia" w:ascii="宋体" w:hAnsi="宋体" w:cs="宋体"/>
          <w:sz w:val="24"/>
        </w:rPr>
        <w:t>为做好全过程的安全保密工作，在等级保护测评前、中、后三个阶段都要做好安全保密工作。</w:t>
      </w:r>
    </w:p>
    <w:p w14:paraId="0C3A9EB3">
      <w:pPr>
        <w:spacing w:line="360" w:lineRule="auto"/>
        <w:ind w:firstLine="480" w:firstLineChars="200"/>
        <w:rPr>
          <w:rFonts w:hint="eastAsia" w:ascii="宋体" w:hAnsi="宋体" w:cs="宋体"/>
          <w:sz w:val="24"/>
        </w:rPr>
      </w:pPr>
      <w:r>
        <w:rPr>
          <w:rFonts w:hint="eastAsia" w:ascii="宋体" w:hAnsi="宋体" w:cs="宋体"/>
          <w:sz w:val="24"/>
        </w:rPr>
        <w:t>(1)等级保护测评前</w:t>
      </w:r>
    </w:p>
    <w:p w14:paraId="6659E085">
      <w:pPr>
        <w:spacing w:line="360" w:lineRule="auto"/>
        <w:ind w:firstLine="480" w:firstLineChars="200"/>
        <w:rPr>
          <w:rFonts w:hint="eastAsia" w:ascii="宋体" w:hAnsi="宋体" w:cs="宋体"/>
          <w:sz w:val="24"/>
        </w:rPr>
      </w:pPr>
      <w:r>
        <w:rPr>
          <w:rFonts w:hint="eastAsia" w:ascii="宋体" w:hAnsi="宋体" w:cs="宋体"/>
          <w:sz w:val="24"/>
        </w:rPr>
        <w:t>1）对等级保护测评人员要进行安全保密教育，制定安全保密措施；</w:t>
      </w:r>
    </w:p>
    <w:p w14:paraId="5D29F78E">
      <w:pPr>
        <w:spacing w:line="360" w:lineRule="auto"/>
        <w:ind w:firstLine="480" w:firstLineChars="200"/>
        <w:rPr>
          <w:rFonts w:hint="eastAsia" w:ascii="宋体" w:hAnsi="宋体" w:cs="宋体"/>
          <w:sz w:val="24"/>
        </w:rPr>
      </w:pPr>
      <w:r>
        <w:rPr>
          <w:rFonts w:hint="eastAsia" w:ascii="宋体" w:hAnsi="宋体" w:cs="宋体"/>
          <w:sz w:val="24"/>
        </w:rPr>
        <w:t>2）签订安全保密协议。</w:t>
      </w:r>
    </w:p>
    <w:p w14:paraId="5E491E1E">
      <w:pPr>
        <w:spacing w:line="360" w:lineRule="auto"/>
        <w:ind w:firstLine="480" w:firstLineChars="200"/>
        <w:rPr>
          <w:rFonts w:hint="eastAsia" w:ascii="宋体" w:hAnsi="宋体" w:cs="宋体"/>
          <w:sz w:val="24"/>
        </w:rPr>
      </w:pPr>
      <w:r>
        <w:rPr>
          <w:rFonts w:hint="eastAsia" w:ascii="宋体" w:hAnsi="宋体" w:cs="宋体"/>
          <w:sz w:val="24"/>
        </w:rPr>
        <w:t>(2)等级保护测评中</w:t>
      </w:r>
    </w:p>
    <w:p w14:paraId="681E4438">
      <w:pPr>
        <w:spacing w:line="360" w:lineRule="auto"/>
        <w:ind w:firstLine="480" w:firstLineChars="200"/>
        <w:rPr>
          <w:rFonts w:hint="eastAsia" w:ascii="宋体" w:hAnsi="宋体" w:cs="宋体"/>
          <w:sz w:val="24"/>
        </w:rPr>
      </w:pPr>
      <w:r>
        <w:rPr>
          <w:rFonts w:hint="eastAsia" w:ascii="宋体" w:hAnsi="宋体" w:cs="宋体"/>
          <w:sz w:val="24"/>
        </w:rPr>
        <w:t>1）对被测单位的性质、机房物理位置、网络与系统、应用与服务、资料与数据、人员与管理等方面的信息进行严格的安全保密管理；</w:t>
      </w:r>
    </w:p>
    <w:p w14:paraId="2B81A273">
      <w:pPr>
        <w:spacing w:line="360" w:lineRule="auto"/>
        <w:ind w:firstLine="480" w:firstLineChars="200"/>
        <w:rPr>
          <w:rFonts w:hint="eastAsia" w:ascii="宋体" w:hAnsi="宋体" w:cs="宋体"/>
          <w:sz w:val="24"/>
        </w:rPr>
      </w:pPr>
      <w:r>
        <w:rPr>
          <w:rFonts w:hint="eastAsia" w:ascii="宋体" w:hAnsi="宋体" w:cs="宋体"/>
          <w:sz w:val="24"/>
        </w:rPr>
        <w:t>2）等级保护测评工具应经过严格测试和检验，确保不对被测评系统造成损失，工作结束后不驻留任何程序；</w:t>
      </w:r>
    </w:p>
    <w:p w14:paraId="3B06D946">
      <w:pPr>
        <w:spacing w:line="360" w:lineRule="auto"/>
        <w:ind w:firstLine="480" w:firstLineChars="200"/>
        <w:rPr>
          <w:rFonts w:hint="eastAsia" w:ascii="宋体" w:hAnsi="宋体" w:cs="宋体"/>
          <w:sz w:val="24"/>
        </w:rPr>
      </w:pPr>
      <w:r>
        <w:rPr>
          <w:rFonts w:hint="eastAsia" w:ascii="宋体" w:hAnsi="宋体" w:cs="宋体"/>
          <w:sz w:val="24"/>
        </w:rPr>
        <w:t>3）对被测单位信息系统的信息资产、发现的脆弱性和发生过的安全事件等威胁情况要控制知情范围；</w:t>
      </w:r>
    </w:p>
    <w:p w14:paraId="0C857797">
      <w:pPr>
        <w:spacing w:line="360" w:lineRule="auto"/>
        <w:ind w:firstLine="480" w:firstLineChars="200"/>
        <w:rPr>
          <w:rFonts w:hint="eastAsia" w:ascii="宋体" w:hAnsi="宋体" w:cs="宋体"/>
          <w:sz w:val="24"/>
        </w:rPr>
      </w:pPr>
      <w:r>
        <w:rPr>
          <w:rFonts w:hint="eastAsia" w:ascii="宋体" w:hAnsi="宋体" w:cs="宋体"/>
          <w:sz w:val="24"/>
        </w:rPr>
        <w:t>4）对测评设备、介质进行严格的保密管理；</w:t>
      </w:r>
    </w:p>
    <w:p w14:paraId="6AA93BFF">
      <w:pPr>
        <w:spacing w:line="360" w:lineRule="auto"/>
        <w:ind w:firstLine="480" w:firstLineChars="200"/>
        <w:rPr>
          <w:rFonts w:hint="eastAsia" w:ascii="宋体" w:hAnsi="宋体" w:cs="宋体"/>
          <w:sz w:val="24"/>
        </w:rPr>
      </w:pPr>
      <w:r>
        <w:rPr>
          <w:rFonts w:hint="eastAsia" w:ascii="宋体" w:hAnsi="宋体" w:cs="宋体"/>
          <w:sz w:val="24"/>
        </w:rPr>
        <w:t>5）工作过程中对人员要实施封闭式集中管理；</w:t>
      </w:r>
    </w:p>
    <w:p w14:paraId="626727EC">
      <w:pPr>
        <w:spacing w:line="360" w:lineRule="auto"/>
        <w:ind w:firstLine="480" w:firstLineChars="200"/>
        <w:rPr>
          <w:rFonts w:hint="eastAsia" w:ascii="宋体" w:hAnsi="宋体" w:cs="宋体"/>
          <w:sz w:val="24"/>
        </w:rPr>
      </w:pPr>
      <w:r>
        <w:rPr>
          <w:rFonts w:hint="eastAsia" w:ascii="宋体" w:hAnsi="宋体" w:cs="宋体"/>
          <w:sz w:val="24"/>
        </w:rPr>
        <w:t>6）对进场人员遵守被测单位的相关管理规定。</w:t>
      </w:r>
    </w:p>
    <w:p w14:paraId="08D4BD66">
      <w:pPr>
        <w:spacing w:line="360" w:lineRule="auto"/>
        <w:ind w:firstLine="480" w:firstLineChars="200"/>
        <w:rPr>
          <w:rFonts w:hint="eastAsia" w:ascii="宋体" w:hAnsi="宋体" w:cs="宋体"/>
          <w:sz w:val="24"/>
        </w:rPr>
      </w:pPr>
      <w:r>
        <w:rPr>
          <w:rFonts w:hint="eastAsia" w:ascii="宋体" w:hAnsi="宋体" w:cs="宋体"/>
          <w:sz w:val="24"/>
        </w:rPr>
        <w:t>(3)等级保护测评后</w:t>
      </w:r>
    </w:p>
    <w:p w14:paraId="28A914FC">
      <w:pPr>
        <w:spacing w:line="360" w:lineRule="auto"/>
        <w:ind w:firstLine="480" w:firstLineChars="200"/>
        <w:rPr>
          <w:rFonts w:hint="eastAsia" w:ascii="宋体" w:hAnsi="宋体" w:cs="宋体"/>
          <w:sz w:val="24"/>
        </w:rPr>
      </w:pPr>
      <w:r>
        <w:rPr>
          <w:rFonts w:hint="eastAsia" w:ascii="宋体" w:hAnsi="宋体" w:cs="宋体"/>
          <w:sz w:val="24"/>
        </w:rPr>
        <w:t>1）认真清退各种文档、资料和数据并予以销毁，确保工作过程中敏感数据不被泄漏；</w:t>
      </w:r>
    </w:p>
    <w:p w14:paraId="2FDF7282">
      <w:pPr>
        <w:spacing w:line="360" w:lineRule="auto"/>
        <w:ind w:firstLine="480" w:firstLineChars="200"/>
        <w:rPr>
          <w:rFonts w:hint="eastAsia" w:ascii="宋体" w:hAnsi="宋体" w:cs="宋体"/>
          <w:sz w:val="24"/>
        </w:rPr>
      </w:pPr>
      <w:r>
        <w:rPr>
          <w:rFonts w:hint="eastAsia" w:ascii="宋体" w:hAnsi="宋体" w:cs="宋体"/>
          <w:sz w:val="24"/>
        </w:rPr>
        <w:t>2）现场工作结束后，按被测单位的要求及时还原系统，确保系统中不遗留任何代码或可执行程序；</w:t>
      </w:r>
    </w:p>
    <w:p w14:paraId="3086842E">
      <w:pPr>
        <w:spacing w:line="360" w:lineRule="auto"/>
        <w:ind w:firstLine="480" w:firstLineChars="200"/>
        <w:rPr>
          <w:rFonts w:hint="eastAsia" w:ascii="宋体" w:hAnsi="宋体" w:cs="宋体"/>
          <w:sz w:val="24"/>
        </w:rPr>
      </w:pPr>
      <w:r>
        <w:rPr>
          <w:rFonts w:hint="eastAsia" w:ascii="宋体" w:hAnsi="宋体" w:cs="宋体"/>
          <w:sz w:val="24"/>
        </w:rPr>
        <w:t>3）在其他风险测评任务或宣传材料中不涉及被测单位的秘密、敏感情况。</w:t>
      </w:r>
    </w:p>
    <w:p w14:paraId="3C49427C">
      <w:pPr>
        <w:spacing w:line="360" w:lineRule="auto"/>
        <w:ind w:firstLine="480" w:firstLineChars="200"/>
        <w:rPr>
          <w:rFonts w:hint="eastAsia" w:ascii="宋体" w:hAnsi="宋体" w:cs="宋体"/>
          <w:sz w:val="24"/>
        </w:rPr>
      </w:pPr>
      <w:r>
        <w:rPr>
          <w:rFonts w:hint="eastAsia" w:ascii="宋体" w:hAnsi="宋体" w:cs="宋体"/>
          <w:sz w:val="24"/>
        </w:rPr>
        <w:t>（二）测评风险规避要求</w:t>
      </w:r>
    </w:p>
    <w:p w14:paraId="2DDFE2AD">
      <w:pPr>
        <w:spacing w:line="360" w:lineRule="auto"/>
        <w:ind w:firstLine="480" w:firstLineChars="200"/>
        <w:rPr>
          <w:rFonts w:hint="eastAsia" w:ascii="宋体" w:hAnsi="宋体" w:cs="宋体"/>
          <w:sz w:val="24"/>
        </w:rPr>
      </w:pPr>
      <w:r>
        <w:rPr>
          <w:rFonts w:hint="eastAsia" w:ascii="宋体" w:hAnsi="宋体" w:cs="宋体"/>
          <w:sz w:val="24"/>
        </w:rPr>
        <w:t>项目开展工作涉及到单位重要信息系统和数据，在测评过程中必须加强安全保密管理与风险控制。</w:t>
      </w:r>
    </w:p>
    <w:p w14:paraId="2E2F1C90">
      <w:pPr>
        <w:spacing w:line="360" w:lineRule="auto"/>
        <w:ind w:firstLine="480" w:firstLineChars="200"/>
        <w:rPr>
          <w:rFonts w:hint="eastAsia" w:ascii="宋体" w:hAnsi="宋体" w:cs="宋体"/>
          <w:sz w:val="24"/>
        </w:rPr>
      </w:pPr>
      <w:r>
        <w:rPr>
          <w:rFonts w:hint="eastAsia" w:ascii="宋体" w:hAnsi="宋体" w:cs="宋体"/>
          <w:sz w:val="24"/>
        </w:rPr>
        <w:t>指定项目经理为专人负责信息安全测评过程中的安全保密管理工作，对测评活动、测评人员以及相关文档和数据进行安全保密管理，对重点设备的技术检测进行监督，对接入的检测设备进行控制。</w:t>
      </w:r>
    </w:p>
    <w:p w14:paraId="71646FBA">
      <w:pPr>
        <w:spacing w:line="360" w:lineRule="auto"/>
        <w:ind w:firstLine="480" w:firstLineChars="200"/>
        <w:rPr>
          <w:rFonts w:hint="eastAsia" w:ascii="宋体" w:hAnsi="宋体" w:cs="宋体"/>
          <w:sz w:val="24"/>
        </w:rPr>
      </w:pPr>
      <w:r>
        <w:rPr>
          <w:rFonts w:hint="eastAsia" w:ascii="宋体" w:hAnsi="宋体" w:cs="宋体"/>
          <w:sz w:val="24"/>
        </w:rPr>
        <w:t>测试人员需具备测评师证书或注册网络安全渗透评估专业人员证书；项目实施人员需签订专项保密协议。</w:t>
      </w:r>
    </w:p>
    <w:p w14:paraId="5C4AB740">
      <w:pPr>
        <w:spacing w:line="360" w:lineRule="auto"/>
        <w:ind w:firstLine="480" w:firstLineChars="200"/>
        <w:rPr>
          <w:rFonts w:hint="eastAsia" w:ascii="宋体" w:hAnsi="宋体" w:cs="宋体"/>
          <w:sz w:val="24"/>
        </w:rPr>
      </w:pPr>
      <w:r>
        <w:rPr>
          <w:rFonts w:hint="eastAsia" w:ascii="宋体" w:hAnsi="宋体" w:cs="宋体"/>
          <w:sz w:val="24"/>
        </w:rPr>
        <w:t>安全测评工作中可能出现的安全风险点，按照检测对象周密制定测评方法，根据被测评对象的不同采取相应的风险控制手段。不限于以下方法：</w:t>
      </w:r>
    </w:p>
    <w:p w14:paraId="7D566E49">
      <w:pPr>
        <w:spacing w:line="360" w:lineRule="auto"/>
        <w:ind w:firstLine="480" w:firstLineChars="200"/>
        <w:rPr>
          <w:rFonts w:hint="eastAsia" w:ascii="宋体" w:hAnsi="宋体" w:cs="宋体"/>
          <w:sz w:val="24"/>
        </w:rPr>
      </w:pPr>
      <w:r>
        <w:rPr>
          <w:rFonts w:hint="eastAsia" w:ascii="宋体" w:hAnsi="宋体" w:cs="宋体"/>
          <w:sz w:val="24"/>
        </w:rPr>
        <w:t>1）操作的申请和监护</w:t>
      </w:r>
    </w:p>
    <w:p w14:paraId="633D79A3">
      <w:pPr>
        <w:spacing w:line="360" w:lineRule="auto"/>
        <w:ind w:firstLine="480" w:firstLineChars="200"/>
        <w:rPr>
          <w:rFonts w:hint="eastAsia" w:ascii="宋体" w:hAnsi="宋体" w:cs="宋体"/>
          <w:sz w:val="24"/>
        </w:rPr>
      </w:pPr>
      <w:r>
        <w:rPr>
          <w:rFonts w:hint="eastAsia" w:ascii="宋体" w:hAnsi="宋体" w:cs="宋体"/>
          <w:sz w:val="24"/>
        </w:rPr>
        <w:t>在实施过程中必须遵守的相关操作章程，以防止敏感信息泄漏和确保及时处理意外事件。</w:t>
      </w:r>
    </w:p>
    <w:p w14:paraId="64B851FC">
      <w:pPr>
        <w:spacing w:line="360" w:lineRule="auto"/>
        <w:ind w:firstLine="480" w:firstLineChars="200"/>
        <w:rPr>
          <w:rFonts w:hint="eastAsia" w:ascii="宋体" w:hAnsi="宋体" w:cs="宋体"/>
          <w:sz w:val="24"/>
        </w:rPr>
      </w:pPr>
      <w:r>
        <w:rPr>
          <w:rFonts w:hint="eastAsia" w:ascii="宋体" w:hAnsi="宋体" w:cs="宋体"/>
          <w:sz w:val="24"/>
        </w:rPr>
        <w:t>2）操作时间控制</w:t>
      </w:r>
    </w:p>
    <w:p w14:paraId="101B5125">
      <w:pPr>
        <w:spacing w:line="360" w:lineRule="auto"/>
        <w:ind w:firstLine="480" w:firstLineChars="200"/>
        <w:rPr>
          <w:rFonts w:hint="eastAsia" w:ascii="宋体" w:hAnsi="宋体" w:cs="宋体"/>
          <w:sz w:val="24"/>
        </w:rPr>
      </w:pPr>
      <w:r>
        <w:rPr>
          <w:rFonts w:hint="eastAsia" w:ascii="宋体" w:hAnsi="宋体" w:cs="宋体"/>
          <w:sz w:val="24"/>
        </w:rPr>
        <w:t>对测评直接影响系统工作时，尽可能避开敏感时期。</w:t>
      </w:r>
    </w:p>
    <w:p w14:paraId="111D730F">
      <w:pPr>
        <w:spacing w:line="360" w:lineRule="auto"/>
        <w:ind w:firstLine="480" w:firstLineChars="200"/>
        <w:rPr>
          <w:rFonts w:hint="eastAsia" w:ascii="宋体" w:hAnsi="宋体" w:cs="宋体"/>
          <w:sz w:val="24"/>
        </w:rPr>
      </w:pPr>
      <w:r>
        <w:rPr>
          <w:rFonts w:hint="eastAsia" w:ascii="宋体" w:hAnsi="宋体" w:cs="宋体"/>
          <w:sz w:val="24"/>
        </w:rPr>
        <w:t>3）人员与数据管理</w:t>
      </w:r>
    </w:p>
    <w:p w14:paraId="5527DDCF">
      <w:pPr>
        <w:spacing w:line="360" w:lineRule="auto"/>
        <w:ind w:firstLine="480" w:firstLineChars="200"/>
        <w:rPr>
          <w:rFonts w:hint="eastAsia" w:ascii="宋体" w:hAnsi="宋体" w:cs="宋体"/>
          <w:sz w:val="24"/>
        </w:rPr>
      </w:pPr>
      <w:r>
        <w:rPr>
          <w:rFonts w:hint="eastAsia" w:ascii="宋体" w:hAnsi="宋体" w:cs="宋体"/>
          <w:sz w:val="24"/>
        </w:rPr>
        <w:t>必须高度重视信息保密工作，加强资料管理，确保人员可靠、稳定和可控。测评与被测评单位之间应签署长期保密协议，测评人员与被测评单位之间也要有相应的约束和控制措施，按国家有关要求做好保密工作。</w:t>
      </w:r>
    </w:p>
    <w:p w14:paraId="0127B08B">
      <w:pPr>
        <w:spacing w:line="360" w:lineRule="auto"/>
        <w:ind w:firstLine="480" w:firstLineChars="200"/>
        <w:rPr>
          <w:rFonts w:hint="eastAsia" w:ascii="宋体" w:hAnsi="宋体" w:cs="宋体"/>
          <w:sz w:val="24"/>
        </w:rPr>
      </w:pPr>
      <w:r>
        <w:rPr>
          <w:rFonts w:hint="eastAsia" w:ascii="宋体" w:hAnsi="宋体" w:cs="宋体"/>
          <w:sz w:val="24"/>
        </w:rPr>
        <w:t>4）制定应急预案</w:t>
      </w:r>
    </w:p>
    <w:p w14:paraId="1D024634">
      <w:pPr>
        <w:spacing w:line="360" w:lineRule="auto"/>
        <w:ind w:firstLine="480" w:firstLineChars="200"/>
        <w:rPr>
          <w:rFonts w:hint="eastAsia" w:ascii="宋体" w:hAnsi="宋体" w:cs="宋体"/>
          <w:sz w:val="24"/>
        </w:rPr>
      </w:pPr>
      <w:r>
        <w:rPr>
          <w:rFonts w:hint="eastAsia" w:ascii="宋体" w:hAnsi="宋体" w:cs="宋体"/>
          <w:sz w:val="24"/>
        </w:rPr>
        <w:t>根据测评范围界定的系统情况，在实施前制定应急预案。</w:t>
      </w:r>
    </w:p>
    <w:p w14:paraId="04148886">
      <w:pPr>
        <w:spacing w:line="360" w:lineRule="auto"/>
        <w:ind w:firstLine="480" w:firstLineChars="200"/>
        <w:rPr>
          <w:rFonts w:hint="eastAsia" w:ascii="宋体" w:hAnsi="宋体" w:cs="宋体"/>
          <w:sz w:val="24"/>
        </w:rPr>
      </w:pPr>
      <w:r>
        <w:rPr>
          <w:rFonts w:hint="eastAsia" w:ascii="宋体" w:hAnsi="宋体" w:cs="宋体"/>
          <w:sz w:val="24"/>
        </w:rPr>
        <w:t>5）关键业务系统风险控制</w:t>
      </w:r>
    </w:p>
    <w:p w14:paraId="45540B52">
      <w:pPr>
        <w:spacing w:line="360" w:lineRule="auto"/>
        <w:ind w:firstLine="480" w:firstLineChars="200"/>
        <w:rPr>
          <w:rFonts w:hint="eastAsia" w:ascii="宋体" w:hAnsi="宋体" w:cs="宋体"/>
          <w:sz w:val="24"/>
        </w:rPr>
      </w:pPr>
      <w:r>
        <w:rPr>
          <w:rFonts w:hint="eastAsia" w:ascii="宋体" w:hAnsi="宋体" w:cs="宋体"/>
          <w:sz w:val="24"/>
        </w:rPr>
        <w:t>对影响较大的重要关键业务系统在无法搭建模拟环境情况下，原则上不采用测评工具，采用访谈、测评和简单测试的方式进行。</w:t>
      </w:r>
    </w:p>
    <w:p w14:paraId="6B98E1C7">
      <w:pPr>
        <w:spacing w:line="360" w:lineRule="auto"/>
        <w:ind w:firstLine="480" w:firstLineChars="200"/>
        <w:rPr>
          <w:rFonts w:hint="eastAsia" w:ascii="宋体" w:hAnsi="宋体" w:cs="宋体"/>
          <w:sz w:val="24"/>
        </w:rPr>
      </w:pPr>
      <w:r>
        <w:rPr>
          <w:rFonts w:hint="eastAsia" w:ascii="宋体" w:hAnsi="宋体" w:cs="宋体"/>
          <w:sz w:val="24"/>
        </w:rPr>
        <w:t>6）优化扫描策略</w:t>
      </w:r>
    </w:p>
    <w:p w14:paraId="5AD8E140">
      <w:pPr>
        <w:spacing w:line="360" w:lineRule="auto"/>
        <w:ind w:firstLine="480" w:firstLineChars="200"/>
        <w:rPr>
          <w:rFonts w:hint="eastAsia" w:ascii="宋体" w:hAnsi="宋体" w:cs="宋体"/>
          <w:sz w:val="24"/>
        </w:rPr>
      </w:pPr>
      <w:r>
        <w:rPr>
          <w:rFonts w:hint="eastAsia" w:ascii="宋体" w:hAnsi="宋体" w:cs="宋体"/>
          <w:sz w:val="24"/>
        </w:rPr>
        <w:t>分类扫描:对不同的主机和设备类型执行不同的扫描会话，从而减少不必要的脆弱项目测试。针对扫描对象细化扫描策略：对不同类型的主机或设备，需要根据其上不同的应用和服务情况，有针对性地定制扫描策略选项。</w:t>
      </w:r>
    </w:p>
    <w:p w14:paraId="130801A9">
      <w:pPr>
        <w:spacing w:line="360" w:lineRule="auto"/>
        <w:ind w:firstLine="480" w:firstLineChars="200"/>
        <w:rPr>
          <w:rFonts w:hint="eastAsia" w:ascii="宋体" w:hAnsi="宋体" w:cs="宋体"/>
          <w:sz w:val="24"/>
        </w:rPr>
      </w:pPr>
      <w:r>
        <w:rPr>
          <w:rFonts w:hint="eastAsia" w:ascii="宋体" w:hAnsi="宋体" w:cs="宋体"/>
          <w:sz w:val="24"/>
        </w:rPr>
        <w:t>7）数据备份与恢复</w:t>
      </w:r>
    </w:p>
    <w:p w14:paraId="0C198D56">
      <w:pPr>
        <w:spacing w:line="360" w:lineRule="auto"/>
        <w:ind w:firstLine="480" w:firstLineChars="200"/>
        <w:rPr>
          <w:rFonts w:hint="eastAsia" w:ascii="宋体" w:hAnsi="宋体" w:cs="宋体"/>
          <w:sz w:val="24"/>
        </w:rPr>
      </w:pPr>
      <w:r>
        <w:rPr>
          <w:rFonts w:hint="eastAsia" w:ascii="宋体" w:hAnsi="宋体" w:cs="宋体"/>
          <w:sz w:val="24"/>
        </w:rPr>
        <w:t>对业务系统和数据库主机，应对其上数据进行备份，防止测评过程中对设备与主机的损伤影响业务系统的正常运行。</w:t>
      </w:r>
    </w:p>
    <w:p w14:paraId="48299CF1">
      <w:pPr>
        <w:spacing w:line="360" w:lineRule="auto"/>
        <w:ind w:firstLine="480" w:firstLineChars="200"/>
        <w:rPr>
          <w:rFonts w:hint="eastAsia" w:ascii="宋体" w:hAnsi="宋体" w:cs="宋体"/>
          <w:sz w:val="24"/>
        </w:rPr>
      </w:pPr>
      <w:r>
        <w:rPr>
          <w:rFonts w:hint="eastAsia" w:ascii="宋体" w:hAnsi="宋体" w:cs="宋体"/>
          <w:sz w:val="24"/>
        </w:rPr>
        <w:t>8）厂商协作</w:t>
      </w:r>
    </w:p>
    <w:p w14:paraId="39CBE512">
      <w:pPr>
        <w:spacing w:line="360" w:lineRule="auto"/>
        <w:ind w:firstLine="480" w:firstLineChars="200"/>
        <w:rPr>
          <w:rFonts w:hint="eastAsia" w:ascii="宋体" w:hAnsi="宋体" w:cs="宋体"/>
          <w:sz w:val="24"/>
        </w:rPr>
      </w:pPr>
      <w:r>
        <w:rPr>
          <w:rFonts w:hint="eastAsia" w:ascii="宋体" w:hAnsi="宋体" w:cs="宋体"/>
          <w:sz w:val="24"/>
        </w:rPr>
        <w:t>厂商需要提供各应用系统的名称、版本、协议、开发语言、进程名和相应的端口号等信息，在测评之前，由三方共同分析测评对业务可能造成的风险，分析可能存在的问题。在测评过程中尽量规避这些风险。</w:t>
      </w:r>
    </w:p>
    <w:p w14:paraId="52A5612E">
      <w:pPr>
        <w:pStyle w:val="3"/>
      </w:pPr>
      <w:r>
        <w:rPr>
          <w:rFonts w:hint="eastAsia"/>
        </w:rPr>
        <w:t>五、报价文件递交</w:t>
      </w:r>
    </w:p>
    <w:p w14:paraId="71224CD7">
      <w:pPr>
        <w:spacing w:line="360" w:lineRule="auto"/>
        <w:ind w:firstLine="480" w:firstLineChars="200"/>
        <w:rPr>
          <w:rFonts w:hint="default" w:ascii="宋体" w:hAnsi="宋体" w:eastAsia="宋体" w:cs="宋体"/>
          <w:sz w:val="24"/>
          <w:highlight w:val="none"/>
          <w:lang w:val="en-US" w:eastAsia="zh-CN"/>
        </w:rPr>
      </w:pPr>
      <w:r>
        <w:rPr>
          <w:rFonts w:hint="eastAsia" w:ascii="宋体" w:hAnsi="宋体" w:cs="宋体"/>
          <w:sz w:val="24"/>
          <w:highlight w:val="none"/>
        </w:rPr>
        <w:t>报价供应商应将报价文件密封，于202</w:t>
      </w:r>
      <w:r>
        <w:rPr>
          <w:rFonts w:hint="eastAsia" w:ascii="宋体" w:hAnsi="宋体" w:cs="宋体"/>
          <w:sz w:val="24"/>
          <w:highlight w:val="none"/>
          <w:lang w:val="en-US" w:eastAsia="zh-CN"/>
        </w:rPr>
        <w:t>5</w:t>
      </w:r>
      <w:r>
        <w:rPr>
          <w:rFonts w:hint="eastAsia" w:ascii="宋体" w:hAnsi="宋体" w:cs="宋体"/>
          <w:sz w:val="24"/>
          <w:highlight w:val="none"/>
        </w:rPr>
        <w:t>年0</w:t>
      </w:r>
      <w:r>
        <w:rPr>
          <w:rFonts w:hint="eastAsia" w:ascii="宋体" w:hAnsi="宋体" w:cs="宋体"/>
          <w:sz w:val="24"/>
          <w:highlight w:val="none"/>
          <w:lang w:val="en-US" w:eastAsia="zh-CN"/>
        </w:rPr>
        <w:t>4</w:t>
      </w:r>
      <w:r>
        <w:rPr>
          <w:rFonts w:hint="eastAsia" w:ascii="宋体" w:hAnsi="宋体" w:cs="宋体"/>
          <w:sz w:val="24"/>
          <w:highlight w:val="none"/>
        </w:rPr>
        <w:t>月2</w:t>
      </w:r>
      <w:r>
        <w:rPr>
          <w:rFonts w:hint="eastAsia" w:ascii="宋体" w:hAnsi="宋体" w:cs="宋体"/>
          <w:sz w:val="24"/>
          <w:highlight w:val="none"/>
          <w:lang w:val="en-US" w:eastAsia="zh-CN"/>
        </w:rPr>
        <w:t>5</w:t>
      </w:r>
      <w:r>
        <w:rPr>
          <w:rFonts w:hint="eastAsia" w:ascii="宋体" w:hAnsi="宋体" w:cs="宋体"/>
          <w:sz w:val="24"/>
          <w:highlight w:val="none"/>
        </w:rPr>
        <w:t>日17时前，将报价文件递交到武汉市第一商业学校综合楼512室</w:t>
      </w:r>
      <w:r>
        <w:rPr>
          <w:rFonts w:hint="eastAsia" w:ascii="宋体" w:hAnsi="宋体" w:cs="宋体"/>
          <w:sz w:val="24"/>
          <w:highlight w:val="none"/>
          <w:lang w:val="en-US" w:eastAsia="zh-CN"/>
        </w:rPr>
        <w:t>。</w:t>
      </w:r>
    </w:p>
    <w:p w14:paraId="3C0054F1">
      <w:pPr>
        <w:pStyle w:val="3"/>
        <w:rPr>
          <w:rFonts w:hint="eastAsia"/>
        </w:rPr>
      </w:pPr>
      <w:r>
        <w:rPr>
          <w:rFonts w:hint="eastAsia"/>
        </w:rPr>
        <w:t>六、联系方式</w:t>
      </w:r>
    </w:p>
    <w:p w14:paraId="07F44E1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sz w:val="24"/>
          <w:highlight w:val="none"/>
        </w:rPr>
      </w:pPr>
      <w:r>
        <w:rPr>
          <w:rFonts w:hint="eastAsia" w:ascii="宋体" w:hAnsi="宋体" w:cs="宋体"/>
          <w:sz w:val="24"/>
          <w:highlight w:val="none"/>
        </w:rPr>
        <w:t>联系人：</w:t>
      </w:r>
      <w:r>
        <w:rPr>
          <w:rFonts w:hint="eastAsia" w:ascii="宋体" w:hAnsi="宋体" w:cs="宋体"/>
          <w:sz w:val="24"/>
          <w:highlight w:val="none"/>
          <w:lang w:val="en-US" w:eastAsia="zh-CN"/>
        </w:rPr>
        <w:t>王鑫</w:t>
      </w:r>
      <w:r>
        <w:rPr>
          <w:rFonts w:hint="eastAsia" w:ascii="宋体" w:hAnsi="宋体" w:cs="宋体"/>
          <w:sz w:val="24"/>
          <w:highlight w:val="none"/>
        </w:rPr>
        <w:t xml:space="preserve">       电  话：027-85795254</w:t>
      </w:r>
    </w:p>
    <w:p w14:paraId="4DC7C695">
      <w:pPr>
        <w:snapToGrid w:val="0"/>
        <w:spacing w:line="560" w:lineRule="exact"/>
        <w:outlineLvl w:val="0"/>
        <w:rPr>
          <w:rFonts w:hint="eastAsia" w:ascii="宋体" w:hAnsi="宋体" w:cs="宋体"/>
          <w:b/>
          <w:color w:val="000000"/>
          <w:sz w:val="30"/>
          <w:szCs w:val="30"/>
        </w:rPr>
      </w:pPr>
      <w:r>
        <w:rPr>
          <w:rFonts w:hint="eastAsia" w:ascii="宋体" w:hAnsi="宋体" w:cs="宋体"/>
          <w:b/>
          <w:color w:val="000000"/>
          <w:sz w:val="30"/>
          <w:szCs w:val="30"/>
        </w:rPr>
        <w:t>附件一：报价一览表</w:t>
      </w:r>
    </w:p>
    <w:p w14:paraId="041A232A">
      <w:pPr>
        <w:jc w:val="left"/>
        <w:rPr>
          <w:rFonts w:hint="eastAsia" w:ascii="宋体" w:hAnsi="宋体" w:cs="宋体"/>
          <w:bCs/>
          <w:sz w:val="32"/>
          <w:szCs w:val="32"/>
          <w:highlight w:val="yellow"/>
        </w:rPr>
      </w:pPr>
      <w:r>
        <w:rPr>
          <w:rFonts w:hint="eastAsia" w:ascii="宋体" w:hAnsi="宋体" w:cs="宋体"/>
          <w:szCs w:val="28"/>
        </w:rPr>
        <w:t>项目名称：</w:t>
      </w:r>
      <w:r>
        <w:rPr>
          <w:rFonts w:hint="eastAsia" w:ascii="宋体" w:hAnsi="宋体" w:cs="宋体"/>
          <w:bCs/>
          <w:sz w:val="32"/>
          <w:szCs w:val="32"/>
          <w:highlight w:val="none"/>
        </w:rPr>
        <w:t>学校智慧门户等保测评</w:t>
      </w:r>
    </w:p>
    <w:tbl>
      <w:tblPr>
        <w:tblStyle w:val="11"/>
        <w:tblpPr w:leftFromText="180" w:rightFromText="180" w:vertAnchor="text" w:horzAnchor="margin" w:tblpY="312"/>
        <w:tblOverlap w:val="never"/>
        <w:tblW w:w="8815" w:type="dxa"/>
        <w:tblInd w:w="0" w:type="dxa"/>
        <w:tblLayout w:type="fixed"/>
        <w:tblCellMar>
          <w:top w:w="0" w:type="dxa"/>
          <w:left w:w="0" w:type="dxa"/>
          <w:bottom w:w="0" w:type="dxa"/>
          <w:right w:w="0" w:type="dxa"/>
        </w:tblCellMar>
      </w:tblPr>
      <w:tblGrid>
        <w:gridCol w:w="763"/>
        <w:gridCol w:w="3127"/>
        <w:gridCol w:w="1334"/>
        <w:gridCol w:w="916"/>
        <w:gridCol w:w="2675"/>
      </w:tblGrid>
      <w:tr w14:paraId="568096EA">
        <w:tblPrEx>
          <w:tblCellMar>
            <w:top w:w="0" w:type="dxa"/>
            <w:left w:w="0" w:type="dxa"/>
            <w:bottom w:w="0" w:type="dxa"/>
            <w:right w:w="0" w:type="dxa"/>
          </w:tblCellMar>
        </w:tblPrEx>
        <w:trPr>
          <w:trHeight w:val="368" w:hRule="atLeast"/>
        </w:trPr>
        <w:tc>
          <w:tcPr>
            <w:tcW w:w="763"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5C27E904">
            <w:pPr>
              <w:widowControl/>
              <w:jc w:val="center"/>
              <w:textAlignment w:val="center"/>
              <w:rPr>
                <w:rFonts w:hint="eastAsia" w:ascii="宋体" w:hAnsi="宋体" w:cs="宋体"/>
                <w:color w:val="000000"/>
                <w:szCs w:val="28"/>
              </w:rPr>
            </w:pPr>
            <w:r>
              <w:rPr>
                <w:rFonts w:hint="eastAsia" w:ascii="宋体" w:hAnsi="宋体" w:cs="宋体"/>
                <w:color w:val="000000"/>
                <w:szCs w:val="28"/>
                <w:lang w:bidi="ar"/>
              </w:rPr>
              <w:t>序号</w:t>
            </w:r>
          </w:p>
        </w:tc>
        <w:tc>
          <w:tcPr>
            <w:tcW w:w="3127"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02231C1E">
            <w:pPr>
              <w:widowControl/>
              <w:jc w:val="center"/>
              <w:textAlignment w:val="center"/>
              <w:rPr>
                <w:rFonts w:hint="eastAsia" w:ascii="宋体" w:hAnsi="宋体" w:cs="宋体"/>
                <w:color w:val="000000"/>
                <w:szCs w:val="28"/>
              </w:rPr>
            </w:pPr>
            <w:r>
              <w:rPr>
                <w:rFonts w:hint="eastAsia" w:ascii="宋体" w:hAnsi="宋体" w:cs="宋体"/>
                <w:color w:val="000000"/>
                <w:szCs w:val="28"/>
                <w:lang w:bidi="ar"/>
              </w:rPr>
              <w:t>服务名称</w:t>
            </w:r>
          </w:p>
        </w:tc>
        <w:tc>
          <w:tcPr>
            <w:tcW w:w="1334" w:type="dxa"/>
            <w:tcBorders>
              <w:top w:val="single" w:color="000000" w:sz="8" w:space="0"/>
              <w:left w:val="single" w:color="000000" w:sz="8" w:space="0"/>
              <w:bottom w:val="nil"/>
              <w:right w:val="single" w:color="000000" w:sz="8" w:space="0"/>
            </w:tcBorders>
            <w:tcMar>
              <w:top w:w="8" w:type="dxa"/>
              <w:left w:w="8" w:type="dxa"/>
              <w:right w:w="8" w:type="dxa"/>
            </w:tcMar>
            <w:vAlign w:val="center"/>
          </w:tcPr>
          <w:p w14:paraId="17FA6053">
            <w:pPr>
              <w:widowControl/>
              <w:jc w:val="center"/>
              <w:textAlignment w:val="center"/>
              <w:rPr>
                <w:rFonts w:hint="eastAsia" w:ascii="宋体" w:hAnsi="宋体" w:cs="宋体"/>
                <w:color w:val="000000"/>
                <w:szCs w:val="28"/>
              </w:rPr>
            </w:pPr>
            <w:r>
              <w:rPr>
                <w:rFonts w:hint="eastAsia" w:ascii="宋体" w:hAnsi="宋体" w:cs="宋体"/>
                <w:color w:val="000000"/>
                <w:szCs w:val="28"/>
                <w:lang w:bidi="ar"/>
              </w:rPr>
              <w:t>系统级别</w:t>
            </w:r>
          </w:p>
        </w:tc>
        <w:tc>
          <w:tcPr>
            <w:tcW w:w="916"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7B4E172F">
            <w:pPr>
              <w:widowControl/>
              <w:jc w:val="center"/>
              <w:textAlignment w:val="center"/>
              <w:rPr>
                <w:rFonts w:hint="eastAsia" w:ascii="宋体" w:hAnsi="宋体" w:cs="宋体"/>
                <w:color w:val="000000"/>
                <w:szCs w:val="28"/>
              </w:rPr>
            </w:pPr>
            <w:r>
              <w:rPr>
                <w:rFonts w:hint="eastAsia" w:ascii="宋体" w:hAnsi="宋体" w:cs="宋体"/>
                <w:color w:val="000000"/>
                <w:szCs w:val="28"/>
                <w:lang w:bidi="ar"/>
              </w:rPr>
              <w:t>数量</w:t>
            </w:r>
          </w:p>
        </w:tc>
        <w:tc>
          <w:tcPr>
            <w:tcW w:w="2675"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0A1EB133">
            <w:pPr>
              <w:widowControl/>
              <w:jc w:val="center"/>
              <w:textAlignment w:val="center"/>
              <w:rPr>
                <w:rFonts w:hint="eastAsia" w:ascii="宋体" w:hAnsi="宋体" w:cs="宋体"/>
                <w:color w:val="000000"/>
                <w:szCs w:val="28"/>
                <w:lang w:bidi="ar"/>
              </w:rPr>
            </w:pPr>
            <w:r>
              <w:rPr>
                <w:rFonts w:hint="eastAsia" w:ascii="宋体" w:hAnsi="宋体" w:cs="宋体"/>
                <w:color w:val="000000"/>
                <w:szCs w:val="28"/>
                <w:lang w:bidi="ar"/>
              </w:rPr>
              <w:t>单价（元）</w:t>
            </w:r>
          </w:p>
        </w:tc>
      </w:tr>
      <w:tr w14:paraId="2F6607F2">
        <w:tblPrEx>
          <w:tblCellMar>
            <w:top w:w="0" w:type="dxa"/>
            <w:left w:w="0" w:type="dxa"/>
            <w:bottom w:w="0" w:type="dxa"/>
            <w:right w:w="0" w:type="dxa"/>
          </w:tblCellMar>
        </w:tblPrEx>
        <w:trPr>
          <w:trHeight w:val="368" w:hRule="atLeast"/>
        </w:trPr>
        <w:tc>
          <w:tcPr>
            <w:tcW w:w="763"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1E2A815A">
            <w:pPr>
              <w:widowControl/>
              <w:ind w:firstLine="280" w:firstLineChars="100"/>
              <w:jc w:val="center"/>
              <w:textAlignment w:val="center"/>
              <w:rPr>
                <w:rFonts w:hint="eastAsia" w:ascii="宋体" w:hAnsi="宋体" w:cs="宋体"/>
                <w:color w:val="000000"/>
                <w:szCs w:val="28"/>
                <w:lang w:bidi="ar"/>
              </w:rPr>
            </w:pPr>
            <w:r>
              <w:rPr>
                <w:rFonts w:hint="eastAsia" w:ascii="宋体" w:hAnsi="宋体" w:cs="宋体"/>
                <w:color w:val="000000"/>
                <w:szCs w:val="28"/>
                <w:lang w:bidi="ar"/>
              </w:rPr>
              <w:t>1</w:t>
            </w:r>
          </w:p>
        </w:tc>
        <w:tc>
          <w:tcPr>
            <w:tcW w:w="3127" w:type="dxa"/>
            <w:tcBorders>
              <w:left w:val="single" w:color="000000" w:sz="8" w:space="0"/>
              <w:bottom w:val="single" w:color="000000" w:sz="8" w:space="0"/>
              <w:right w:val="single" w:color="000000" w:sz="8" w:space="0"/>
            </w:tcBorders>
            <w:tcMar>
              <w:top w:w="8" w:type="dxa"/>
              <w:left w:w="8" w:type="dxa"/>
              <w:right w:w="8" w:type="dxa"/>
            </w:tcMar>
            <w:vAlign w:val="center"/>
          </w:tcPr>
          <w:p w14:paraId="5FB11436">
            <w:pPr>
              <w:spacing w:line="360" w:lineRule="auto"/>
              <w:jc w:val="center"/>
              <w:rPr>
                <w:rFonts w:hint="eastAsia" w:ascii="宋体" w:hAnsi="宋体" w:cs="宋体"/>
                <w:color w:val="000000"/>
                <w:szCs w:val="28"/>
              </w:rPr>
            </w:pPr>
          </w:p>
        </w:tc>
        <w:tc>
          <w:tcPr>
            <w:tcW w:w="1334"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27615680">
            <w:pPr>
              <w:spacing w:line="360" w:lineRule="auto"/>
              <w:jc w:val="center"/>
              <w:rPr>
                <w:rFonts w:hint="eastAsia" w:ascii="宋体" w:hAnsi="宋体" w:cs="宋体"/>
                <w:color w:val="000000"/>
                <w:szCs w:val="28"/>
              </w:rPr>
            </w:pPr>
            <w:r>
              <w:rPr>
                <w:rFonts w:hint="eastAsia" w:ascii="宋体" w:hAnsi="宋体" w:cs="宋体"/>
                <w:szCs w:val="28"/>
              </w:rPr>
              <w:t>二级</w:t>
            </w:r>
          </w:p>
        </w:tc>
        <w:tc>
          <w:tcPr>
            <w:tcW w:w="916" w:type="dxa"/>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5C404224">
            <w:pPr>
              <w:spacing w:line="360" w:lineRule="auto"/>
              <w:jc w:val="center"/>
              <w:rPr>
                <w:rFonts w:hint="eastAsia" w:ascii="宋体" w:hAnsi="宋体" w:cs="宋体"/>
                <w:color w:val="000000"/>
                <w:szCs w:val="28"/>
                <w:lang w:bidi="ar"/>
              </w:rPr>
            </w:pPr>
            <w:r>
              <w:rPr>
                <w:rFonts w:hint="eastAsia" w:ascii="宋体" w:hAnsi="宋体" w:cs="宋体"/>
                <w:color w:val="000000"/>
                <w:szCs w:val="28"/>
                <w:lang w:bidi="ar"/>
              </w:rPr>
              <w:t>1</w:t>
            </w:r>
          </w:p>
        </w:tc>
        <w:tc>
          <w:tcPr>
            <w:tcW w:w="2675" w:type="dxa"/>
            <w:tcBorders>
              <w:top w:val="nil"/>
              <w:left w:val="nil"/>
              <w:bottom w:val="single" w:color="000000" w:sz="8" w:space="0"/>
              <w:right w:val="single" w:color="000000" w:sz="8" w:space="0"/>
            </w:tcBorders>
            <w:noWrap/>
            <w:tcMar>
              <w:top w:w="8" w:type="dxa"/>
              <w:left w:w="8" w:type="dxa"/>
              <w:right w:w="8" w:type="dxa"/>
            </w:tcMar>
            <w:vAlign w:val="center"/>
          </w:tcPr>
          <w:p w14:paraId="46BBD84E">
            <w:pPr>
              <w:widowControl/>
              <w:jc w:val="center"/>
              <w:textAlignment w:val="center"/>
              <w:rPr>
                <w:rFonts w:hint="eastAsia" w:ascii="宋体" w:hAnsi="宋体" w:cs="宋体"/>
                <w:color w:val="000000"/>
                <w:szCs w:val="28"/>
              </w:rPr>
            </w:pPr>
          </w:p>
        </w:tc>
      </w:tr>
      <w:tr w14:paraId="59E98E3E">
        <w:tblPrEx>
          <w:tblCellMar>
            <w:top w:w="0" w:type="dxa"/>
            <w:left w:w="0" w:type="dxa"/>
            <w:bottom w:w="0" w:type="dxa"/>
            <w:right w:w="0" w:type="dxa"/>
          </w:tblCellMar>
        </w:tblPrEx>
        <w:trPr>
          <w:trHeight w:val="367" w:hRule="atLeast"/>
        </w:trPr>
        <w:tc>
          <w:tcPr>
            <w:tcW w:w="6140" w:type="dxa"/>
            <w:gridSpan w:val="4"/>
            <w:tcBorders>
              <w:top w:val="single" w:color="000000" w:sz="8" w:space="0"/>
              <w:left w:val="single" w:color="000000" w:sz="8" w:space="0"/>
              <w:bottom w:val="single" w:color="000000" w:sz="8" w:space="0"/>
              <w:right w:val="single" w:color="000000" w:sz="8" w:space="0"/>
            </w:tcBorders>
            <w:tcMar>
              <w:top w:w="8" w:type="dxa"/>
              <w:left w:w="8" w:type="dxa"/>
              <w:right w:w="8" w:type="dxa"/>
            </w:tcMar>
            <w:vAlign w:val="center"/>
          </w:tcPr>
          <w:p w14:paraId="784BA00F">
            <w:pPr>
              <w:widowControl/>
              <w:jc w:val="center"/>
              <w:textAlignment w:val="center"/>
              <w:rPr>
                <w:rFonts w:hint="eastAsia" w:ascii="宋体" w:hAnsi="宋体" w:cs="宋体"/>
                <w:color w:val="000000"/>
                <w:szCs w:val="28"/>
              </w:rPr>
            </w:pPr>
            <w:r>
              <w:rPr>
                <w:rFonts w:hint="eastAsia" w:ascii="宋体" w:hAnsi="宋体" w:cs="宋体"/>
                <w:color w:val="000000"/>
                <w:szCs w:val="28"/>
                <w:lang w:bidi="ar"/>
              </w:rPr>
              <w:t>总计（元）</w:t>
            </w:r>
          </w:p>
        </w:tc>
        <w:tc>
          <w:tcPr>
            <w:tcW w:w="2675" w:type="dxa"/>
            <w:tcBorders>
              <w:top w:val="nil"/>
              <w:left w:val="nil"/>
              <w:bottom w:val="single" w:color="000000" w:sz="8" w:space="0"/>
              <w:right w:val="single" w:color="000000" w:sz="8" w:space="0"/>
            </w:tcBorders>
            <w:noWrap/>
            <w:tcMar>
              <w:top w:w="8" w:type="dxa"/>
              <w:left w:w="8" w:type="dxa"/>
              <w:right w:w="8" w:type="dxa"/>
            </w:tcMar>
            <w:vAlign w:val="center"/>
          </w:tcPr>
          <w:p w14:paraId="084854CA">
            <w:pPr>
              <w:widowControl/>
              <w:jc w:val="center"/>
              <w:textAlignment w:val="center"/>
              <w:rPr>
                <w:rFonts w:hint="eastAsia" w:ascii="宋体" w:hAnsi="宋体" w:cs="宋体"/>
                <w:color w:val="000000"/>
                <w:szCs w:val="28"/>
                <w:lang w:bidi="ar"/>
              </w:rPr>
            </w:pPr>
          </w:p>
        </w:tc>
      </w:tr>
    </w:tbl>
    <w:p w14:paraId="29A03650">
      <w:pPr>
        <w:rPr>
          <w:rFonts w:hint="eastAsia" w:ascii="宋体" w:hAnsi="宋体" w:cs="宋体"/>
        </w:rPr>
      </w:pPr>
    </w:p>
    <w:p w14:paraId="79250221"/>
    <w:p w14:paraId="057E6E9F"/>
    <w:p w14:paraId="1F326410"/>
    <w:p w14:paraId="02506BB0">
      <w:pPr>
        <w:pStyle w:val="6"/>
        <w:spacing w:line="500" w:lineRule="exact"/>
        <w:rPr>
          <w:rFonts w:hint="eastAsia" w:hAnsi="宋体" w:cs="宋体"/>
          <w:szCs w:val="28"/>
          <w:u w:val="single"/>
        </w:rPr>
      </w:pPr>
      <w:r>
        <w:rPr>
          <w:rFonts w:hint="eastAsia" w:hAnsi="宋体" w:cs="宋体"/>
          <w:szCs w:val="28"/>
        </w:rPr>
        <w:t>供应商名称（公章）：</w:t>
      </w:r>
      <w:r>
        <w:rPr>
          <w:rFonts w:hint="eastAsia" w:hAnsi="宋体" w:cs="宋体"/>
          <w:szCs w:val="28"/>
          <w:u w:val="single"/>
        </w:rPr>
        <w:t xml:space="preserve">                   </w:t>
      </w:r>
    </w:p>
    <w:p w14:paraId="6240037F">
      <w:pPr>
        <w:rPr>
          <w:rFonts w:hint="eastAsia" w:ascii="宋体" w:hAnsi="宋体" w:cs="宋体"/>
          <w:szCs w:val="28"/>
        </w:rPr>
      </w:pPr>
      <w:r>
        <w:rPr>
          <w:rFonts w:hint="eastAsia" w:ascii="宋体" w:hAnsi="宋体" w:cs="宋体"/>
          <w:szCs w:val="28"/>
        </w:rPr>
        <w:t>日期：</w:t>
      </w:r>
      <w:r>
        <w:rPr>
          <w:rFonts w:hint="eastAsia" w:ascii="宋体" w:hAnsi="宋体" w:cs="宋体"/>
          <w:szCs w:val="28"/>
          <w:u w:val="single"/>
        </w:rPr>
        <w:t xml:space="preserve">                  </w:t>
      </w:r>
    </w:p>
    <w:p w14:paraId="3F89A433"/>
    <w:p w14:paraId="55CE8A2C">
      <w:pPr>
        <w:snapToGrid w:val="0"/>
        <w:spacing w:line="560" w:lineRule="exact"/>
        <w:outlineLvl w:val="0"/>
        <w:rPr>
          <w:rFonts w:hint="eastAsia" w:ascii="宋体" w:hAnsi="宋体" w:cs="宋体"/>
          <w:b/>
          <w:color w:val="000000"/>
          <w:sz w:val="30"/>
          <w:szCs w:val="30"/>
        </w:rPr>
      </w:pPr>
      <w:r>
        <w:rPr>
          <w:rFonts w:hint="eastAsia" w:ascii="宋体" w:hAnsi="宋体" w:cs="宋体"/>
          <w:b/>
          <w:color w:val="000000"/>
          <w:sz w:val="30"/>
          <w:szCs w:val="30"/>
        </w:rPr>
        <w:t>附件二：其他证明文件</w:t>
      </w:r>
    </w:p>
    <w:p w14:paraId="6F97AE32">
      <w:pPr>
        <w:widowControl/>
        <w:snapToGrid w:val="0"/>
        <w:spacing w:line="560" w:lineRule="exact"/>
        <w:ind w:left="544"/>
        <w:rPr>
          <w:rFonts w:hint="eastAsia" w:ascii="宋体" w:hAnsi="宋体" w:cs="宋体"/>
          <w:color w:val="000000"/>
          <w:sz w:val="30"/>
          <w:szCs w:val="30"/>
        </w:rPr>
      </w:pPr>
    </w:p>
    <w:p w14:paraId="2902A9CE">
      <w:pPr>
        <w:widowControl/>
        <w:snapToGrid w:val="0"/>
        <w:spacing w:line="560" w:lineRule="exact"/>
        <w:ind w:left="544"/>
        <w:rPr>
          <w:rFonts w:hint="eastAsia" w:ascii="宋体" w:hAnsi="宋体" w:cs="宋体"/>
          <w:color w:val="000000"/>
          <w:szCs w:val="28"/>
        </w:rPr>
      </w:pPr>
      <w:r>
        <w:rPr>
          <w:rFonts w:hint="eastAsia" w:ascii="宋体" w:hAnsi="宋体" w:cs="宋体"/>
          <w:color w:val="000000"/>
          <w:szCs w:val="28"/>
        </w:rPr>
        <w:t>1、公司营业执照（三证合一）；</w:t>
      </w:r>
    </w:p>
    <w:p w14:paraId="6638FE34">
      <w:pPr>
        <w:widowControl/>
        <w:snapToGrid w:val="0"/>
        <w:spacing w:line="560" w:lineRule="exact"/>
        <w:ind w:left="544"/>
        <w:rPr>
          <w:rFonts w:hint="eastAsia" w:ascii="宋体" w:hAnsi="宋体" w:cs="宋体"/>
          <w:color w:val="000000"/>
          <w:szCs w:val="28"/>
        </w:rPr>
      </w:pPr>
      <w:r>
        <w:rPr>
          <w:rFonts w:hint="eastAsia" w:ascii="宋体" w:hAnsi="宋体" w:cs="宋体"/>
          <w:color w:val="000000"/>
          <w:szCs w:val="28"/>
        </w:rPr>
        <w:t>2、相关资质证书；</w:t>
      </w:r>
    </w:p>
    <w:p w14:paraId="337CFDD6">
      <w:pPr>
        <w:rPr>
          <w:rFonts w:hint="eastAsia" w:ascii="宋体" w:hAnsi="宋体" w:cs="宋体"/>
          <w:szCs w:val="28"/>
        </w:rPr>
      </w:pPr>
    </w:p>
    <w:p w14:paraId="5D22D8A0">
      <w:pPr>
        <w:widowControl/>
        <w:snapToGrid w:val="0"/>
        <w:spacing w:line="560" w:lineRule="exact"/>
        <w:ind w:left="544"/>
        <w:rPr>
          <w:rFonts w:hint="eastAsia" w:ascii="宋体" w:hAnsi="宋体" w:cs="宋体"/>
          <w:color w:val="000000"/>
          <w:szCs w:val="28"/>
        </w:rPr>
      </w:pPr>
      <w:r>
        <w:rPr>
          <w:rFonts w:hint="eastAsia" w:ascii="宋体" w:hAnsi="宋体" w:cs="宋体"/>
          <w:color w:val="000000"/>
          <w:szCs w:val="28"/>
        </w:rPr>
        <w:t>以上文件均为复印件并加盖公章</w:t>
      </w:r>
    </w:p>
    <w:sectPr>
      <w:footerReference r:id="rId3" w:type="default"/>
      <w:pgSz w:w="11906" w:h="16838"/>
      <w:pgMar w:top="1440" w:right="952" w:bottom="1440" w:left="83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D096B">
    <w:pPr>
      <w:pStyle w:val="7"/>
      <w:jc w:val="center"/>
    </w:pP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kern w:val="0"/>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7CE2A2"/>
    <w:multiLevelType w:val="singleLevel"/>
    <w:tmpl w:val="747CE2A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zNjYzNDhlYmE1NDAwZTYwOTc5YmRiNjE2ZmZkNWEifQ=="/>
  </w:docVars>
  <w:rsids>
    <w:rsidRoot w:val="46EB50BD"/>
    <w:rsid w:val="00006DDF"/>
    <w:rsid w:val="00212478"/>
    <w:rsid w:val="00344218"/>
    <w:rsid w:val="005641A3"/>
    <w:rsid w:val="006079B1"/>
    <w:rsid w:val="00880850"/>
    <w:rsid w:val="00892568"/>
    <w:rsid w:val="008E102A"/>
    <w:rsid w:val="00B64B37"/>
    <w:rsid w:val="00F324D4"/>
    <w:rsid w:val="048B3E34"/>
    <w:rsid w:val="0580501B"/>
    <w:rsid w:val="05D865EB"/>
    <w:rsid w:val="0CC0638F"/>
    <w:rsid w:val="0EE43C14"/>
    <w:rsid w:val="0F112C3E"/>
    <w:rsid w:val="100E4749"/>
    <w:rsid w:val="114851C9"/>
    <w:rsid w:val="17233A58"/>
    <w:rsid w:val="17F10871"/>
    <w:rsid w:val="188D7D23"/>
    <w:rsid w:val="1A8018DF"/>
    <w:rsid w:val="1B185B19"/>
    <w:rsid w:val="1BC92FDE"/>
    <w:rsid w:val="1C2C33AF"/>
    <w:rsid w:val="1FC24FE5"/>
    <w:rsid w:val="20863C96"/>
    <w:rsid w:val="23E427C1"/>
    <w:rsid w:val="25B35976"/>
    <w:rsid w:val="263374DD"/>
    <w:rsid w:val="28842E75"/>
    <w:rsid w:val="2896643A"/>
    <w:rsid w:val="29F64FFC"/>
    <w:rsid w:val="2A8606B9"/>
    <w:rsid w:val="2C6220CA"/>
    <w:rsid w:val="2DC87886"/>
    <w:rsid w:val="2F42374E"/>
    <w:rsid w:val="30EE0A67"/>
    <w:rsid w:val="326A00F0"/>
    <w:rsid w:val="344A041F"/>
    <w:rsid w:val="34AB2108"/>
    <w:rsid w:val="3C3F4569"/>
    <w:rsid w:val="3DCD4983"/>
    <w:rsid w:val="3FE1782A"/>
    <w:rsid w:val="3FF900FD"/>
    <w:rsid w:val="426C3C56"/>
    <w:rsid w:val="442347E8"/>
    <w:rsid w:val="45692773"/>
    <w:rsid w:val="46EB50BD"/>
    <w:rsid w:val="48BA481C"/>
    <w:rsid w:val="4B1452D4"/>
    <w:rsid w:val="4E162199"/>
    <w:rsid w:val="4E8430BC"/>
    <w:rsid w:val="50045EDA"/>
    <w:rsid w:val="52DD0B7D"/>
    <w:rsid w:val="5359794D"/>
    <w:rsid w:val="57F65472"/>
    <w:rsid w:val="61B31169"/>
    <w:rsid w:val="63222E71"/>
    <w:rsid w:val="637755D5"/>
    <w:rsid w:val="639037F0"/>
    <w:rsid w:val="64B915CC"/>
    <w:rsid w:val="65E03B31"/>
    <w:rsid w:val="6B301415"/>
    <w:rsid w:val="73DC0B54"/>
    <w:rsid w:val="762A7AD4"/>
    <w:rsid w:val="7DB7352F"/>
    <w:rsid w:val="7EF574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szCs w:val="24"/>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paragraph" w:styleId="3">
    <w:name w:val="heading 2"/>
    <w:basedOn w:val="1"/>
    <w:next w:val="1"/>
    <w:link w:val="14"/>
    <w:unhideWhenUsed/>
    <w:qFormat/>
    <w:uiPriority w:val="0"/>
    <w:pPr>
      <w:keepNext/>
      <w:keepLines/>
      <w:spacing w:before="120" w:after="120" w:line="300" w:lineRule="auto"/>
      <w:jc w:val="left"/>
      <w:outlineLvl w:val="1"/>
    </w:pPr>
    <w:rPr>
      <w:b/>
      <w:bCs/>
      <w:sz w:val="36"/>
      <w:szCs w:val="32"/>
    </w:rPr>
  </w:style>
  <w:style w:type="paragraph" w:styleId="4">
    <w:name w:val="heading 4"/>
    <w:basedOn w:val="1"/>
    <w:next w:val="1"/>
    <w:semiHidden/>
    <w:unhideWhenUsed/>
    <w:qFormat/>
    <w:uiPriority w:val="0"/>
    <w:pPr>
      <w:keepNext/>
      <w:keepLines/>
      <w:spacing w:before="280" w:after="290" w:line="372" w:lineRule="auto"/>
      <w:outlineLvl w:val="3"/>
    </w:pPr>
    <w:rPr>
      <w:rFonts w:ascii="Arial" w:hAnsi="Arial" w:eastAsia="微软雅黑"/>
      <w:b/>
      <w:szCs w:val="21"/>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next w:val="1"/>
    <w:unhideWhenUsed/>
    <w:qFormat/>
    <w:uiPriority w:val="0"/>
    <w:pPr>
      <w:spacing w:after="120"/>
    </w:pPr>
    <w:rPr>
      <w:sz w:val="21"/>
    </w:rPr>
  </w:style>
  <w:style w:type="paragraph" w:styleId="6">
    <w:name w:val="Plain Text"/>
    <w:basedOn w:val="1"/>
    <w:qFormat/>
    <w:uiPriority w:val="0"/>
    <w:rPr>
      <w:rFonts w:ascii="宋体" w:hAnsi="Courier New"/>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Indent 3"/>
    <w:basedOn w:val="1"/>
    <w:qFormat/>
    <w:uiPriority w:val="99"/>
    <w:pPr>
      <w:spacing w:after="120"/>
      <w:ind w:left="420" w:leftChars="200"/>
    </w:pPr>
    <w:rPr>
      <w:sz w:val="16"/>
      <w:szCs w:val="16"/>
    </w:rPr>
  </w:style>
  <w:style w:type="paragraph" w:styleId="10">
    <w:name w:val="Body Text First Indent"/>
    <w:basedOn w:val="5"/>
    <w:unhideWhenUsed/>
    <w:qFormat/>
    <w:uiPriority w:val="0"/>
    <w:pPr>
      <w:spacing w:line="360" w:lineRule="auto"/>
      <w:ind w:firstLine="420" w:firstLineChars="100"/>
    </w:pPr>
    <w:rPr>
      <w:sz w:val="2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标题 2 字符"/>
    <w:link w:val="3"/>
    <w:qFormat/>
    <w:uiPriority w:val="0"/>
    <w:rPr>
      <w:rFonts w:ascii="Times New Roman" w:hAnsi="Times New Roman" w:eastAsia="宋体" w:cs="Times New Roman"/>
      <w:b/>
      <w:bCs/>
      <w:sz w:val="36"/>
      <w:szCs w:val="32"/>
    </w:rPr>
  </w:style>
  <w:style w:type="paragraph" w:customStyle="1" w:styleId="15">
    <w:name w:val="_Style 6"/>
    <w:basedOn w:val="1"/>
    <w:next w:val="16"/>
    <w:qFormat/>
    <w:uiPriority w:val="99"/>
    <w:pPr>
      <w:ind w:firstLine="420" w:firstLineChars="200"/>
    </w:pPr>
    <w:rPr>
      <w:rFonts w:ascii="Calibri" w:hAnsi="Calibri"/>
    </w:rPr>
  </w:style>
  <w:style w:type="paragraph" w:customStyle="1" w:styleId="16">
    <w:name w:val="列表段落1"/>
    <w:basedOn w:val="1"/>
    <w:qFormat/>
    <w:uiPriority w:val="99"/>
    <w:pPr>
      <w:ind w:firstLine="420" w:firstLineChars="200"/>
    </w:pPr>
  </w:style>
  <w:style w:type="paragraph" w:customStyle="1" w:styleId="17">
    <w:name w:val="标题4"/>
    <w:qFormat/>
    <w:uiPriority w:val="0"/>
    <w:pPr>
      <w:keepNext/>
      <w:keepLines/>
      <w:widowControl w:val="0"/>
      <w:spacing w:before="280" w:after="290" w:line="376" w:lineRule="auto"/>
      <w:jc w:val="both"/>
      <w:outlineLvl w:val="3"/>
    </w:pPr>
    <w:rPr>
      <w:rFonts w:ascii="Arial" w:hAnsi="Arial" w:eastAsia="黑体" w:cs="Times New Roman"/>
      <w:b/>
      <w:kern w:val="2"/>
      <w:sz w:val="28"/>
      <w:lang w:val="en-US" w:eastAsia="zh-CN" w:bidi="ar-SA"/>
    </w:rPr>
  </w:style>
  <w:style w:type="paragraph" w:customStyle="1" w:styleId="18">
    <w:name w:val="Table Text"/>
    <w:basedOn w:val="1"/>
    <w:autoRedefine/>
    <w:semiHidden/>
    <w:qFormat/>
    <w:uiPriority w:val="0"/>
    <w:rPr>
      <w:rFonts w:ascii="宋体" w:hAnsi="宋体" w:cs="宋体"/>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3371</Words>
  <Characters>3597</Characters>
  <Lines>27</Lines>
  <Paragraphs>7</Paragraphs>
  <TotalTime>87</TotalTime>
  <ScaleCrop>false</ScaleCrop>
  <LinksUpToDate>false</LinksUpToDate>
  <CharactersWithSpaces>3675</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2020-12-01T05:22:00Z</dcterms:created>
  <dc:creator>星野科技</dc:creator>
  <cp:lastModifiedBy>羽蝶</cp:lastModifiedBy>
  <dcterms:modified xsi:type="dcterms:W3CDTF">2025-04-26T02:16:00Z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ICV">
    <vt:lpwstr>7A545CBA4AFC49C1940A492E6C165055_13</vt:lpwstr>
  </property>
  <property fmtid="{D5CDD505-2E9C-101B-9397-08002B2CF9AE}" pid="4" name="KSOTemplateDocerSaveRecord">
    <vt:lpwstr>eyJoZGlkIjoiOTllYTNhN2Q5NWE5MmRjNzdhNjM0ZTZlZTg0NDdkNGYiLCJ1c2VySWQiOiIxMTYxMjA1NDExIn0=</vt:lpwstr>
  </property>
</Properties>
</file>